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2A5F8D">
      <w:pPr>
        <w:spacing w:before="156"/>
        <w:ind w:firstLine="840" w:firstLineChars="300"/>
        <w:rPr>
          <w:rFonts w:cs="Times New Roman"/>
          <w:b/>
          <w:bCs/>
          <w:sz w:val="28"/>
          <w:szCs w:val="28"/>
        </w:rPr>
      </w:pPr>
      <w:r>
        <w:rPr>
          <w:rFonts w:cs="Times New Roman"/>
          <w:sz w:val="28"/>
          <w:szCs w:val="28"/>
        </w:rPr>
        <w:drawing>
          <wp:inline distT="0" distB="0" distL="0" distR="0">
            <wp:extent cx="1609090" cy="845820"/>
            <wp:effectExtent l="0" t="0" r="10160" b="11430"/>
            <wp:docPr id="2241" name="图片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 name="图片 2241"/>
                    <pic:cNvPicPr>
                      <a:picLocks noChangeAspect="1"/>
                    </pic:cNvPicPr>
                  </pic:nvPicPr>
                  <pic:blipFill>
                    <a:blip r:embed="rId24"/>
                    <a:stretch>
                      <a:fillRect/>
                    </a:stretch>
                  </pic:blipFill>
                  <pic:spPr>
                    <a:xfrm>
                      <a:off x="0" y="0"/>
                      <a:ext cx="1609200" cy="846000"/>
                    </a:xfrm>
                    <a:prstGeom prst="rect">
                      <a:avLst/>
                    </a:prstGeom>
                  </pic:spPr>
                </pic:pic>
              </a:graphicData>
            </a:graphic>
          </wp:inline>
        </w:drawing>
      </w:r>
    </w:p>
    <w:p w14:paraId="64A06482">
      <w:pPr>
        <w:spacing w:before="156"/>
        <w:ind w:firstLine="562"/>
        <w:jc w:val="right"/>
        <w:rPr>
          <w:rFonts w:cs="Times New Roman"/>
          <w:b/>
          <w:bCs/>
          <w:sz w:val="28"/>
          <w:szCs w:val="28"/>
        </w:rPr>
      </w:pPr>
      <w:r>
        <w:rPr>
          <w:rFonts w:cs="Times New Roman"/>
          <w:b/>
          <w:bCs/>
          <w:sz w:val="28"/>
          <w:szCs w:val="28"/>
        </w:rPr>
        <w:t>T/CECS XXX</w:t>
      </w:r>
      <w:r>
        <w:rPr>
          <w:rFonts w:eastAsia="黑体" w:cs="Times New Roman"/>
          <w:b/>
          <w:bCs/>
          <w:sz w:val="28"/>
          <w:szCs w:val="28"/>
        </w:rPr>
        <w:t>-</w:t>
      </w:r>
      <w:r>
        <w:rPr>
          <w:rFonts w:cs="Times New Roman"/>
          <w:b/>
          <w:bCs/>
          <w:sz w:val="28"/>
          <w:szCs w:val="28"/>
        </w:rPr>
        <w:t>202X</w:t>
      </w:r>
    </w:p>
    <w:p w14:paraId="783CC995">
      <w:pPr>
        <w:spacing w:before="156"/>
        <w:ind w:firstLine="0" w:firstLineChars="0"/>
        <w:jc w:val="center"/>
        <w:rPr>
          <w:rFonts w:cs="Times New Roman"/>
          <w:b/>
          <w:bCs/>
          <w:sz w:val="28"/>
          <w:szCs w:val="28"/>
        </w:rPr>
      </w:pPr>
      <w:bookmarkStart w:id="95" w:name="_GoBack"/>
      <w:r>
        <w:rPr>
          <w:rFonts w:cs="Times New Roman"/>
          <w:b/>
          <w:bCs/>
          <w:sz w:val="28"/>
          <w:szCs w:val="28"/>
        </w:rPr>
        <mc:AlternateContent>
          <mc:Choice Requires="wps">
            <w:drawing>
              <wp:anchor distT="0" distB="0" distL="114300" distR="114300" simplePos="0" relativeHeight="251659264" behindDoc="0" locked="0" layoutInCell="1" allowOverlap="1">
                <wp:simplePos x="0" y="0"/>
                <wp:positionH relativeFrom="column">
                  <wp:posOffset>72390</wp:posOffset>
                </wp:positionH>
                <wp:positionV relativeFrom="paragraph">
                  <wp:posOffset>129540</wp:posOffset>
                </wp:positionV>
                <wp:extent cx="5574030" cy="0"/>
                <wp:effectExtent l="0" t="7620" r="0" b="8255"/>
                <wp:wrapNone/>
                <wp:docPr id="2240" name="直接连接符 2240"/>
                <wp:cNvGraphicFramePr/>
                <a:graphic xmlns:a="http://schemas.openxmlformats.org/drawingml/2006/main">
                  <a:graphicData uri="http://schemas.microsoft.com/office/word/2010/wordprocessingShape">
                    <wps:wsp>
                      <wps:cNvCnPr/>
                      <wps:spPr>
                        <a:xfrm>
                          <a:off x="0" y="0"/>
                          <a:ext cx="5574182"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7pt;margin-top:10.2pt;height:0pt;width:438.9pt;z-index:251659264;mso-width-relative:page;mso-height-relative:page;" filled="f" stroked="t" coordsize="21600,21600" o:gfxdata="UEsDBAoAAAAAAIdO4kAAAAAAAAAAAAAAAAAEAAAAZHJzL1BLAwQUAAAACACHTuJAYw8eZtUAAAAI&#10;AQAADwAAAGRycy9kb3ducmV2LnhtbE2PQU/DMAyF70j8h8hIu7GkFUylNJ0EEhK7INHtwDFrTFuW&#10;OFWTbeXfY8SBnazn9/T8uVrP3okTTnEIpCFbKhBIbbADdRp225fbAkRMhqxxgVDDN0ZY19dXlSlt&#10;ONM7nprUCS6hWBoNfUpjKWVse/QmLsOIxN5nmLxJLKdO2smcudw7mSu1kt4MxBd6M+Jzj+2hOXoN&#10;b83usJHZfP8V3ccTrUy2Va9O68VNph5BJJzTfxh+8RkdambahyPZKBzr7I6TGnLFk/2ieMhB7P8W&#10;sq7k5QP1D1BLAwQUAAAACACHTuJAP5eO9+cBAAC4AwAADgAAAGRycy9lMm9Eb2MueG1srVNLbtsw&#10;EN0X6B0I7mvZQtwYguUsYqSbojXQ9gBjipII8AcOY9mX6AUKdNeuuuy+t2lyjA4px0mTTRbRghpy&#10;OG/4Hh+XF3uj2U4GVM7WfDaZciatcI2yXc2/fL56s+AMI9gGtLOy5geJ/GL1+tVy8JUsXe90IwMj&#10;EIvV4Gvex+irokDRSwM4cV5aSrYuGIg0DV3RBBgI3eiinE7fFoMLjQ9OSERaXY9JfkQMzwF0bauE&#10;XDtxbaSNI2qQGiJRwl555Kt82raVIn5sW5SR6ZoT05hHakLxNo3FaglVF8D3ShyPAM85wiNOBpSl&#10;pieoNURg10E9gTJKBIeujRPhTDESyYoQi9n0kTafevAycyGp0Z9Ex5eDFR92m8BUU/OyPCNRLBi6&#10;85tvv/9+/XH75zuNN79+spwjqQaPFVVc2k04ztBvQuK9b4NJf2LE9lnew0leuY9M0OJ8fn42W5Sc&#10;ibtccV/oA8Z30hmWgpprZRNzqGD3HiM1o613W9KydVdK63x72rKBjDxfnM8JGsiSLVmBQuOJFtqO&#10;M9AdeV3EkCHRadWk8gSEodte6sB2kBySv2QKavffttR7DdiP+3Jq9I5RkZ6DVqbmi4fV2hJI0mtU&#10;KEVb1xyycHmdLjS3OZovOebhPFffP7jV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MPHmbVAAAA&#10;CAEAAA8AAAAAAAAAAQAgAAAAIgAAAGRycy9kb3ducmV2LnhtbFBLAQIUABQAAAAIAIdO4kA/l473&#10;5wEAALgDAAAOAAAAAAAAAAEAIAAAACQBAABkcnMvZTJvRG9jLnhtbFBLBQYAAAAABgAGAFkBAAB9&#10;BQAAAAA=&#10;">
                <v:fill on="f" focussize="0,0"/>
                <v:stroke weight="1.25pt" color="#000000 [3213]" miterlimit="8" joinstyle="miter"/>
                <v:imagedata o:title=""/>
                <o:lock v:ext="edit" aspectratio="f"/>
              </v:line>
            </w:pict>
          </mc:Fallback>
        </mc:AlternateContent>
      </w:r>
      <w:bookmarkEnd w:id="95"/>
    </w:p>
    <w:p w14:paraId="4F0E4AB8">
      <w:pPr>
        <w:spacing w:before="156"/>
        <w:ind w:firstLine="0" w:firstLineChars="0"/>
        <w:jc w:val="center"/>
        <w:rPr>
          <w:rFonts w:ascii="黑体" w:hAnsi="黑体" w:eastAsia="黑体" w:cs="Times New Roman"/>
          <w:bCs/>
          <w:sz w:val="32"/>
          <w:szCs w:val="32"/>
        </w:rPr>
      </w:pPr>
      <w:r>
        <w:rPr>
          <w:rFonts w:ascii="黑体" w:hAnsi="黑体" w:eastAsia="黑体" w:cs="Times New Roman"/>
          <w:bCs/>
          <w:sz w:val="32"/>
          <w:szCs w:val="32"/>
        </w:rPr>
        <w:t>中国工程建设标准化协会标准</w:t>
      </w:r>
    </w:p>
    <w:p w14:paraId="72555CC4">
      <w:pPr>
        <w:spacing w:before="156"/>
        <w:ind w:firstLine="0" w:firstLineChars="0"/>
        <w:jc w:val="center"/>
        <w:rPr>
          <w:rFonts w:cs="Times New Roman"/>
          <w:b/>
          <w:bCs/>
          <w:sz w:val="28"/>
          <w:szCs w:val="28"/>
        </w:rPr>
      </w:pPr>
    </w:p>
    <w:p w14:paraId="4FD4C8EF">
      <w:pPr>
        <w:spacing w:before="156"/>
        <w:ind w:firstLine="0" w:firstLineChars="0"/>
        <w:jc w:val="center"/>
        <w:rPr>
          <w:rFonts w:eastAsia="黑体" w:cs="Times New Roman"/>
          <w:bCs/>
          <w:sz w:val="48"/>
          <w:szCs w:val="48"/>
        </w:rPr>
      </w:pPr>
      <w:r>
        <w:rPr>
          <w:rFonts w:hint="eastAsia" w:eastAsia="黑体" w:cs="Times New Roman"/>
          <w:bCs/>
          <w:sz w:val="48"/>
          <w:szCs w:val="48"/>
        </w:rPr>
        <w:t>锻锤</w:t>
      </w:r>
      <w:r>
        <w:rPr>
          <w:rFonts w:eastAsia="黑体" w:cs="Times New Roman"/>
          <w:bCs/>
          <w:sz w:val="48"/>
          <w:szCs w:val="48"/>
        </w:rPr>
        <w:t>基础设计标准</w:t>
      </w:r>
    </w:p>
    <w:p w14:paraId="312D4ADF">
      <w:pPr>
        <w:spacing w:before="156"/>
        <w:ind w:firstLine="0" w:firstLineChars="0"/>
        <w:jc w:val="center"/>
        <w:rPr>
          <w:rFonts w:cs="Times New Roman"/>
          <w:b/>
          <w:bCs/>
          <w:sz w:val="28"/>
          <w:szCs w:val="28"/>
        </w:rPr>
      </w:pPr>
      <w:r>
        <w:rPr>
          <w:rFonts w:cs="Times New Roman"/>
          <w:b/>
          <w:bCs/>
          <w:sz w:val="28"/>
          <w:szCs w:val="28"/>
        </w:rPr>
        <w:t>Design standard for forging hammer foundation</w:t>
      </w:r>
    </w:p>
    <w:p w14:paraId="319E22E1">
      <w:pPr>
        <w:spacing w:before="156"/>
        <w:ind w:firstLine="140" w:firstLineChars="44"/>
        <w:jc w:val="center"/>
        <w:rPr>
          <w:rFonts w:ascii="宋体" w:hAnsi="宋体" w:cs="Times New Roman"/>
          <w:bCs/>
          <w:sz w:val="32"/>
          <w:szCs w:val="32"/>
        </w:rPr>
      </w:pPr>
      <w:r>
        <w:rPr>
          <w:rFonts w:ascii="宋体" w:hAnsi="宋体" w:cs="Times New Roman"/>
          <w:bCs/>
          <w:sz w:val="32"/>
          <w:szCs w:val="32"/>
        </w:rPr>
        <w:t xml:space="preserve"> (</w:t>
      </w:r>
      <w:r>
        <w:rPr>
          <w:rFonts w:hint="eastAsia" w:ascii="宋体" w:hAnsi="宋体" w:cs="Times New Roman"/>
          <w:bCs/>
          <w:sz w:val="32"/>
          <w:szCs w:val="32"/>
        </w:rPr>
        <w:t>初稿</w:t>
      </w:r>
      <w:r>
        <w:rPr>
          <w:rFonts w:ascii="宋体" w:hAnsi="宋体" w:cs="Times New Roman"/>
          <w:bCs/>
          <w:sz w:val="32"/>
          <w:szCs w:val="32"/>
        </w:rPr>
        <w:t>)</w:t>
      </w:r>
    </w:p>
    <w:p w14:paraId="1AACF1B9">
      <w:pPr>
        <w:spacing w:before="156"/>
        <w:ind w:firstLine="0" w:firstLineChars="0"/>
        <w:jc w:val="center"/>
        <w:rPr>
          <w:rFonts w:cs="Times New Roman"/>
          <w:b/>
          <w:bCs/>
          <w:sz w:val="28"/>
          <w:szCs w:val="28"/>
        </w:rPr>
      </w:pPr>
    </w:p>
    <w:p w14:paraId="77C213D4">
      <w:pPr>
        <w:spacing w:before="156"/>
        <w:ind w:firstLine="0" w:firstLineChars="0"/>
        <w:jc w:val="center"/>
        <w:rPr>
          <w:rFonts w:cs="Times New Roman"/>
          <w:b/>
          <w:bCs/>
          <w:sz w:val="28"/>
          <w:szCs w:val="28"/>
        </w:rPr>
      </w:pPr>
    </w:p>
    <w:p w14:paraId="6B7FB31C">
      <w:pPr>
        <w:spacing w:before="156"/>
        <w:ind w:firstLine="0" w:firstLineChars="0"/>
        <w:jc w:val="center"/>
        <w:rPr>
          <w:rFonts w:cs="Times New Roman"/>
          <w:b/>
          <w:bCs/>
          <w:sz w:val="28"/>
          <w:szCs w:val="28"/>
        </w:rPr>
      </w:pPr>
    </w:p>
    <w:p w14:paraId="1D072632">
      <w:pPr>
        <w:spacing w:before="156"/>
        <w:ind w:firstLine="0" w:firstLineChars="0"/>
        <w:jc w:val="center"/>
        <w:rPr>
          <w:rFonts w:cs="Times New Roman"/>
          <w:b/>
          <w:bCs/>
          <w:sz w:val="28"/>
          <w:szCs w:val="28"/>
        </w:rPr>
      </w:pPr>
    </w:p>
    <w:p w14:paraId="36510ABB">
      <w:pPr>
        <w:spacing w:before="156"/>
        <w:ind w:firstLine="0" w:firstLineChars="0"/>
        <w:jc w:val="center"/>
        <w:rPr>
          <w:rFonts w:cs="Times New Roman"/>
          <w:b/>
          <w:bCs/>
          <w:sz w:val="28"/>
          <w:szCs w:val="28"/>
        </w:rPr>
      </w:pPr>
    </w:p>
    <w:p w14:paraId="5E15751C">
      <w:pPr>
        <w:spacing w:before="156"/>
        <w:ind w:firstLine="0" w:firstLineChars="0"/>
        <w:jc w:val="center"/>
        <w:rPr>
          <w:rFonts w:cs="Times New Roman"/>
          <w:b/>
          <w:bCs/>
          <w:sz w:val="28"/>
          <w:szCs w:val="28"/>
        </w:rPr>
      </w:pPr>
    </w:p>
    <w:p w14:paraId="0BF366F0">
      <w:pPr>
        <w:spacing w:before="156"/>
        <w:ind w:firstLine="0" w:firstLineChars="0"/>
        <w:jc w:val="center"/>
        <w:rPr>
          <w:rFonts w:cs="Times New Roman"/>
          <w:b/>
          <w:bCs/>
          <w:sz w:val="28"/>
          <w:szCs w:val="28"/>
        </w:rPr>
      </w:pPr>
    </w:p>
    <w:p w14:paraId="783A9074">
      <w:pPr>
        <w:spacing w:before="156"/>
        <w:ind w:firstLine="0" w:firstLineChars="0"/>
        <w:jc w:val="center"/>
        <w:rPr>
          <w:rFonts w:eastAsia="仿宋" w:cs="Times New Roman"/>
          <w:b/>
          <w:bCs/>
          <w:sz w:val="32"/>
          <w:szCs w:val="32"/>
        </w:rPr>
      </w:pPr>
      <w:r>
        <w:rPr>
          <w:rFonts w:eastAsia="仿宋" w:cs="Times New Roman"/>
          <w:b/>
          <w:bCs/>
          <w:sz w:val="32"/>
          <w:szCs w:val="32"/>
        </w:rPr>
        <w:t>中国</w:t>
      </w:r>
      <w:r>
        <w:rPr>
          <w:rFonts w:hint="eastAsia" w:eastAsia="仿宋" w:cs="Times New Roman"/>
          <w:b/>
          <w:bCs/>
          <w:sz w:val="32"/>
          <w:szCs w:val="32"/>
        </w:rPr>
        <w:t>建筑工业出版社</w:t>
      </w:r>
    </w:p>
    <w:p w14:paraId="76529B6E">
      <w:pPr>
        <w:spacing w:before="156"/>
        <w:ind w:firstLine="0" w:firstLineChars="0"/>
        <w:jc w:val="center"/>
        <w:rPr>
          <w:rFonts w:eastAsia="黑体" w:cs="Times New Roman"/>
          <w:bCs/>
          <w:sz w:val="32"/>
          <w:szCs w:val="30"/>
        </w:rPr>
      </w:pPr>
      <w:r>
        <w:rPr>
          <w:rFonts w:eastAsia="黑体" w:cs="Times New Roman"/>
          <w:bCs/>
          <w:sz w:val="32"/>
          <w:szCs w:val="30"/>
        </w:rPr>
        <w:t>中国工程建设标准化协会标准</w:t>
      </w:r>
    </w:p>
    <w:p w14:paraId="5A21D01B">
      <w:pPr>
        <w:spacing w:before="156"/>
        <w:ind w:firstLine="0" w:firstLineChars="0"/>
        <w:jc w:val="center"/>
        <w:rPr>
          <w:rFonts w:cs="Times New Roman"/>
          <w:bCs/>
          <w:sz w:val="30"/>
          <w:szCs w:val="30"/>
        </w:rPr>
      </w:pPr>
    </w:p>
    <w:p w14:paraId="5E399378">
      <w:pPr>
        <w:pStyle w:val="2"/>
      </w:pPr>
      <w:bookmarkStart w:id="0" w:name="_Toc206578557"/>
      <w:bookmarkStart w:id="1" w:name="_Toc203061220"/>
      <w:r>
        <w:rPr>
          <w:rFonts w:hint="eastAsia"/>
        </w:rPr>
        <w:t>锻锤</w:t>
      </w:r>
      <w:r>
        <w:t>基础设计标准</w:t>
      </w:r>
      <w:bookmarkEnd w:id="0"/>
      <w:bookmarkEnd w:id="1"/>
    </w:p>
    <w:p w14:paraId="61DB3F81">
      <w:pPr>
        <w:spacing w:before="156"/>
        <w:ind w:firstLine="0" w:firstLineChars="0"/>
        <w:jc w:val="center"/>
        <w:rPr>
          <w:rFonts w:cs="Times New Roman"/>
          <w:b/>
          <w:bCs/>
          <w:sz w:val="28"/>
          <w:szCs w:val="32"/>
        </w:rPr>
      </w:pPr>
      <w:r>
        <w:rPr>
          <w:rFonts w:cs="Times New Roman"/>
          <w:b/>
          <w:bCs/>
          <w:sz w:val="28"/>
          <w:szCs w:val="32"/>
        </w:rPr>
        <w:t>Design standard for forging hammer foundation</w:t>
      </w:r>
    </w:p>
    <w:p w14:paraId="33201AB2">
      <w:pPr>
        <w:spacing w:before="156"/>
        <w:ind w:firstLine="0" w:firstLineChars="0"/>
        <w:jc w:val="center"/>
        <w:rPr>
          <w:rFonts w:cs="Times New Roman"/>
          <w:b/>
          <w:bCs/>
          <w:sz w:val="28"/>
          <w:szCs w:val="32"/>
        </w:rPr>
      </w:pPr>
      <w:r>
        <w:rPr>
          <w:rFonts w:cs="Times New Roman"/>
          <w:b/>
          <w:bCs/>
          <w:sz w:val="28"/>
          <w:szCs w:val="32"/>
        </w:rPr>
        <w:t>T/CECSXXX-202X</w:t>
      </w:r>
    </w:p>
    <w:p w14:paraId="71ACE88A">
      <w:pPr>
        <w:spacing w:before="156"/>
        <w:ind w:firstLine="0" w:firstLineChars="0"/>
        <w:jc w:val="center"/>
        <w:rPr>
          <w:rFonts w:cs="Times New Roman"/>
          <w:sz w:val="30"/>
          <w:szCs w:val="30"/>
        </w:rPr>
      </w:pPr>
    </w:p>
    <w:p w14:paraId="1161FA16">
      <w:pPr>
        <w:spacing w:before="156"/>
        <w:ind w:firstLine="0" w:firstLineChars="0"/>
        <w:jc w:val="center"/>
        <w:rPr>
          <w:rFonts w:cs="Times New Roman"/>
          <w:sz w:val="30"/>
          <w:szCs w:val="30"/>
        </w:rPr>
      </w:pPr>
    </w:p>
    <w:p w14:paraId="7F08BB9E">
      <w:pPr>
        <w:spacing w:before="156"/>
        <w:ind w:firstLine="0" w:firstLineChars="0"/>
        <w:jc w:val="center"/>
        <w:rPr>
          <w:rFonts w:cs="Times New Roman"/>
          <w:sz w:val="30"/>
          <w:szCs w:val="30"/>
        </w:rPr>
      </w:pPr>
    </w:p>
    <w:p w14:paraId="1B2DBC70">
      <w:pPr>
        <w:spacing w:before="156"/>
        <w:ind w:firstLine="0" w:firstLineChars="0"/>
        <w:jc w:val="center"/>
        <w:rPr>
          <w:rFonts w:cs="Times New Roman"/>
          <w:sz w:val="30"/>
          <w:szCs w:val="30"/>
        </w:rPr>
      </w:pPr>
    </w:p>
    <w:p w14:paraId="1E6E1A8D">
      <w:pPr>
        <w:spacing w:before="156"/>
        <w:ind w:firstLine="0" w:firstLineChars="0"/>
        <w:jc w:val="center"/>
        <w:rPr>
          <w:rFonts w:cs="Times New Roman"/>
          <w:sz w:val="30"/>
          <w:szCs w:val="30"/>
        </w:rPr>
      </w:pPr>
    </w:p>
    <w:p w14:paraId="508A02CD">
      <w:pPr>
        <w:spacing w:before="156"/>
        <w:ind w:firstLine="0" w:firstLineChars="0"/>
        <w:jc w:val="center"/>
        <w:rPr>
          <w:rFonts w:cs="Times New Roman"/>
          <w:sz w:val="30"/>
          <w:szCs w:val="30"/>
        </w:rPr>
      </w:pPr>
    </w:p>
    <w:p w14:paraId="0FE16591">
      <w:pPr>
        <w:spacing w:before="156"/>
        <w:ind w:left="2040" w:leftChars="850" w:right="2040" w:rightChars="850" w:firstLine="0" w:firstLineChars="0"/>
        <w:rPr>
          <w:rFonts w:cs="Times New Roman"/>
          <w:sz w:val="30"/>
          <w:szCs w:val="30"/>
        </w:rPr>
      </w:pPr>
      <w:r>
        <w:rPr>
          <w:rFonts w:cs="Times New Roman"/>
          <w:sz w:val="30"/>
          <w:szCs w:val="30"/>
        </w:rPr>
        <w:t>主编单位：</w:t>
      </w:r>
      <w:r>
        <w:rPr>
          <w:rFonts w:hint="eastAsia" w:cs="Times New Roman"/>
          <w:sz w:val="30"/>
          <w:szCs w:val="30"/>
        </w:rPr>
        <w:t>*</w:t>
      </w:r>
      <w:r>
        <w:rPr>
          <w:rFonts w:cs="Times New Roman"/>
          <w:sz w:val="30"/>
          <w:szCs w:val="30"/>
        </w:rPr>
        <w:t>******</w:t>
      </w:r>
    </w:p>
    <w:p w14:paraId="55021350">
      <w:pPr>
        <w:spacing w:before="156"/>
        <w:ind w:left="2040" w:leftChars="850" w:right="2040" w:rightChars="850" w:firstLine="0" w:firstLineChars="0"/>
        <w:rPr>
          <w:rFonts w:cs="Times New Roman"/>
          <w:sz w:val="30"/>
          <w:szCs w:val="30"/>
        </w:rPr>
      </w:pPr>
      <w:r>
        <w:rPr>
          <w:rFonts w:cs="Times New Roman"/>
          <w:sz w:val="30"/>
          <w:szCs w:val="30"/>
        </w:rPr>
        <w:t>批准单位：中国工程建设标准化协会</w:t>
      </w:r>
    </w:p>
    <w:p w14:paraId="4BABC146">
      <w:pPr>
        <w:spacing w:before="156"/>
        <w:ind w:left="2040" w:leftChars="850" w:right="2040" w:rightChars="850" w:firstLine="0" w:firstLineChars="0"/>
        <w:rPr>
          <w:rFonts w:cs="Times New Roman"/>
          <w:sz w:val="30"/>
          <w:szCs w:val="30"/>
        </w:rPr>
      </w:pPr>
      <w:r>
        <w:rPr>
          <w:rFonts w:cs="Times New Roman"/>
          <w:sz w:val="30"/>
          <w:szCs w:val="30"/>
        </w:rPr>
        <w:t>施行日期：202X年XX月XX日</w:t>
      </w:r>
    </w:p>
    <w:p w14:paraId="172272C6">
      <w:pPr>
        <w:spacing w:before="156"/>
        <w:ind w:left="2040" w:leftChars="850" w:right="2040" w:rightChars="850" w:firstLine="0" w:firstLineChars="0"/>
        <w:jc w:val="center"/>
        <w:rPr>
          <w:rFonts w:cs="Times New Roman"/>
          <w:sz w:val="30"/>
          <w:szCs w:val="30"/>
        </w:rPr>
      </w:pPr>
    </w:p>
    <w:p w14:paraId="1F99CF54">
      <w:pPr>
        <w:spacing w:before="156"/>
        <w:ind w:left="2040" w:leftChars="850" w:right="2040" w:rightChars="850" w:firstLine="0" w:firstLineChars="0"/>
        <w:jc w:val="center"/>
        <w:rPr>
          <w:rFonts w:cs="Times New Roman"/>
          <w:b/>
          <w:sz w:val="30"/>
          <w:szCs w:val="30"/>
        </w:rPr>
      </w:pPr>
      <w:r>
        <w:rPr>
          <w:rFonts w:hint="eastAsia" w:cs="Times New Roman"/>
          <w:b/>
          <w:sz w:val="30"/>
          <w:szCs w:val="30"/>
        </w:rPr>
        <w:t>中国建筑工业出版社</w:t>
      </w:r>
    </w:p>
    <w:p w14:paraId="6AB3823C">
      <w:pPr>
        <w:widowControl/>
        <w:spacing w:before="156"/>
        <w:ind w:firstLine="0" w:firstLineChars="0"/>
        <w:jc w:val="center"/>
        <w:rPr>
          <w:rFonts w:cs="Times New Roman"/>
          <w:bCs/>
          <w:sz w:val="30"/>
          <w:szCs w:val="30"/>
        </w:rPr>
      </w:pPr>
      <w:r>
        <w:rPr>
          <w:rFonts w:cs="Times New Roman"/>
          <w:bCs/>
          <w:sz w:val="30"/>
          <w:szCs w:val="30"/>
        </w:rPr>
        <w:t>202X 北　　京</w:t>
      </w:r>
    </w:p>
    <w:p w14:paraId="205E9D43">
      <w:pPr>
        <w:pStyle w:val="3"/>
      </w:pPr>
      <w:bookmarkStart w:id="2" w:name="_Toc206578558"/>
      <w:r>
        <w:t>前　　言</w:t>
      </w:r>
      <w:bookmarkEnd w:id="2"/>
    </w:p>
    <w:p w14:paraId="68C3D02E">
      <w:pPr>
        <w:autoSpaceDE w:val="0"/>
        <w:autoSpaceDN w:val="0"/>
        <w:adjustRightInd w:val="0"/>
        <w:spacing w:before="156"/>
        <w:ind w:firstLine="480"/>
        <w:rPr>
          <w:rFonts w:cs="Times New Roman"/>
          <w:kern w:val="0"/>
          <w:szCs w:val="24"/>
          <w:lang w:val="zh-CN"/>
        </w:rPr>
      </w:pPr>
      <w:r>
        <w:rPr>
          <w:rFonts w:hint="eastAsia" w:cs="Times New Roman"/>
          <w:kern w:val="0"/>
          <w:szCs w:val="24"/>
          <w:lang w:val="zh-CN"/>
        </w:rPr>
        <w:t>本标准是根据中国工程建设标准化协会建标协字〔2024〕28号关于印发《2024年第二批协会标准制订、修订计划》通知的要求，由中国汽车工业工程有限公司会同有关设计、科研、生产和教学单位共同编制而成。</w:t>
      </w:r>
    </w:p>
    <w:p w14:paraId="3B16616F">
      <w:pPr>
        <w:autoSpaceDE w:val="0"/>
        <w:autoSpaceDN w:val="0"/>
        <w:adjustRightInd w:val="0"/>
        <w:spacing w:before="156"/>
        <w:ind w:firstLine="480"/>
        <w:rPr>
          <w:rFonts w:cs="Times New Roman"/>
          <w:kern w:val="0"/>
          <w:szCs w:val="24"/>
          <w:lang w:val="zh-CN"/>
        </w:rPr>
      </w:pPr>
      <w:r>
        <w:rPr>
          <w:rFonts w:hint="eastAsia" w:cs="Times New Roman"/>
          <w:kern w:val="0"/>
          <w:szCs w:val="24"/>
          <w:lang w:val="zh-CN"/>
        </w:rPr>
        <w:t>在本标准编制过程中，编制组开展了专题研究，并进行了广泛的调查分析，总结了我国在锻锤基础设计方法方面的实践经验，同时与相关标准进行了协调、与国际先进标准进行了比较和借鉴。在此基础上，开展广泛征求意见，深入分析讨论，最终形成了标准的征求意见稿。</w:t>
      </w:r>
    </w:p>
    <w:p w14:paraId="64A4A84D">
      <w:pPr>
        <w:autoSpaceDE w:val="0"/>
        <w:autoSpaceDN w:val="0"/>
        <w:adjustRightInd w:val="0"/>
        <w:spacing w:before="156"/>
        <w:ind w:firstLine="480"/>
        <w:rPr>
          <w:rFonts w:cs="Times New Roman"/>
          <w:kern w:val="0"/>
          <w:szCs w:val="24"/>
          <w:lang w:val="zh-CN"/>
        </w:rPr>
      </w:pPr>
      <w:r>
        <w:rPr>
          <w:rFonts w:cs="Times New Roman"/>
          <w:kern w:val="0"/>
          <w:szCs w:val="24"/>
          <w:lang w:val="zh-CN"/>
        </w:rPr>
        <w:t>本</w:t>
      </w:r>
      <w:r>
        <w:rPr>
          <w:rFonts w:hint="eastAsia" w:cs="Times New Roman"/>
          <w:kern w:val="0"/>
          <w:szCs w:val="24"/>
          <w:lang w:val="zh-CN"/>
        </w:rPr>
        <w:t>标准</w:t>
      </w:r>
      <w:r>
        <w:rPr>
          <w:rFonts w:cs="Times New Roman"/>
          <w:kern w:val="0"/>
          <w:szCs w:val="24"/>
          <w:lang w:val="zh-CN"/>
        </w:rPr>
        <w:t>共分11章</w:t>
      </w:r>
      <w:r>
        <w:rPr>
          <w:rFonts w:hint="eastAsia" w:cs="Times New Roman"/>
          <w:kern w:val="0"/>
          <w:szCs w:val="24"/>
          <w:lang w:val="zh-CN"/>
        </w:rPr>
        <w:t>2个附录</w:t>
      </w:r>
      <w:r>
        <w:rPr>
          <w:rFonts w:cs="Times New Roman"/>
          <w:kern w:val="0"/>
          <w:szCs w:val="24"/>
          <w:lang w:val="zh-CN"/>
        </w:rPr>
        <w:t>，主要技术内容包括：</w:t>
      </w:r>
      <w:r>
        <w:rPr>
          <w:rFonts w:cs="Times New Roman"/>
          <w:szCs w:val="24"/>
        </w:rPr>
        <w:t>总则、术语和符号、基本规定、</w:t>
      </w:r>
      <w:r>
        <w:rPr>
          <w:rFonts w:hint="eastAsia" w:cs="Times New Roman"/>
          <w:szCs w:val="24"/>
        </w:rPr>
        <w:t>地基动力特征参数、振动测试、</w:t>
      </w:r>
      <w:r>
        <w:rPr>
          <w:rFonts w:cs="Times New Roman"/>
          <w:szCs w:val="24"/>
        </w:rPr>
        <w:t>荷载与荷载组合、静力设计、</w:t>
      </w:r>
      <w:r>
        <w:rPr>
          <w:rFonts w:hint="eastAsia" w:cs="Times New Roman"/>
          <w:szCs w:val="24"/>
        </w:rPr>
        <w:t>刚性基础动力分析、隔振基础设计、基础</w:t>
      </w:r>
      <w:r>
        <w:rPr>
          <w:rFonts w:cs="Times New Roman"/>
          <w:szCs w:val="24"/>
        </w:rPr>
        <w:t>构造</w:t>
      </w:r>
      <w:r>
        <w:rPr>
          <w:rFonts w:hint="eastAsia" w:cs="Times New Roman"/>
          <w:szCs w:val="24"/>
        </w:rPr>
        <w:t>措施</w:t>
      </w:r>
      <w:r>
        <w:rPr>
          <w:rFonts w:hint="eastAsia" w:cs="Times New Roman"/>
          <w:color w:val="000000" w:themeColor="text1"/>
          <w:szCs w:val="24"/>
          <w14:textFill>
            <w14:solidFill>
              <w14:schemeClr w14:val="tx1"/>
            </w14:solidFill>
          </w14:textFill>
        </w:rPr>
        <w:t>、监测与运维</w:t>
      </w:r>
      <w:r>
        <w:rPr>
          <w:rFonts w:cs="Times New Roman"/>
          <w:color w:val="000000" w:themeColor="text1"/>
          <w:szCs w:val="24"/>
          <w14:textFill>
            <w14:solidFill>
              <w14:schemeClr w14:val="tx1"/>
            </w14:solidFill>
          </w14:textFill>
        </w:rPr>
        <w:t>等</w:t>
      </w:r>
      <w:r>
        <w:rPr>
          <w:rFonts w:cs="Times New Roman"/>
          <w:color w:val="000000" w:themeColor="text1"/>
          <w:kern w:val="0"/>
          <w:szCs w:val="24"/>
          <w:lang w:val="zh-CN"/>
          <w14:textFill>
            <w14:solidFill>
              <w14:schemeClr w14:val="tx1"/>
            </w14:solidFill>
          </w14:textFill>
        </w:rPr>
        <w:t>。</w:t>
      </w:r>
    </w:p>
    <w:p w14:paraId="1BD98F08">
      <w:pPr>
        <w:autoSpaceDE w:val="0"/>
        <w:autoSpaceDN w:val="0"/>
        <w:adjustRightInd w:val="0"/>
        <w:spacing w:before="156"/>
        <w:ind w:firstLine="480"/>
        <w:rPr>
          <w:rFonts w:cs="Times New Roman"/>
          <w:kern w:val="0"/>
          <w:szCs w:val="24"/>
          <w:lang w:val="zh-CN"/>
        </w:rPr>
      </w:pPr>
      <w:r>
        <w:rPr>
          <w:rFonts w:cs="Times New Roman"/>
          <w:kern w:val="0"/>
          <w:szCs w:val="24"/>
          <w:lang w:val="zh-CN"/>
        </w:rPr>
        <w:t>本</w:t>
      </w:r>
      <w:r>
        <w:rPr>
          <w:rFonts w:hint="eastAsia" w:cs="Times New Roman"/>
          <w:kern w:val="0"/>
          <w:szCs w:val="24"/>
          <w:lang w:val="zh-CN"/>
        </w:rPr>
        <w:t>标准</w:t>
      </w:r>
      <w:r>
        <w:rPr>
          <w:rFonts w:cs="Times New Roman"/>
          <w:kern w:val="0"/>
          <w:szCs w:val="24"/>
          <w:lang w:val="zh-CN"/>
        </w:rPr>
        <w:t>的某些内容可能直接或间接涉及专利，本</w:t>
      </w:r>
      <w:r>
        <w:rPr>
          <w:rFonts w:hint="eastAsia" w:cs="Times New Roman"/>
          <w:kern w:val="0"/>
          <w:szCs w:val="24"/>
          <w:lang w:val="zh-CN"/>
        </w:rPr>
        <w:t>标准</w:t>
      </w:r>
      <w:r>
        <w:rPr>
          <w:rFonts w:cs="Times New Roman"/>
          <w:kern w:val="0"/>
          <w:szCs w:val="24"/>
          <w:lang w:val="zh-CN"/>
        </w:rPr>
        <w:t>的发布机构不承担识别这些专利的责任。</w:t>
      </w:r>
    </w:p>
    <w:p w14:paraId="0450DF75">
      <w:pPr>
        <w:autoSpaceDE w:val="0"/>
        <w:autoSpaceDN w:val="0"/>
        <w:adjustRightInd w:val="0"/>
        <w:spacing w:before="156"/>
        <w:ind w:firstLine="480"/>
        <w:rPr>
          <w:rFonts w:cs="Times New Roman"/>
          <w:kern w:val="0"/>
          <w:szCs w:val="24"/>
          <w:lang w:val="zh-CN"/>
        </w:rPr>
      </w:pPr>
      <w:r>
        <w:rPr>
          <w:rFonts w:cs="Times New Roman"/>
          <w:kern w:val="0"/>
          <w:szCs w:val="24"/>
          <w:lang w:val="zh-CN"/>
        </w:rPr>
        <w:t>本</w:t>
      </w:r>
      <w:r>
        <w:rPr>
          <w:rFonts w:hint="eastAsia" w:cs="Times New Roman"/>
          <w:kern w:val="0"/>
          <w:szCs w:val="24"/>
          <w:lang w:val="zh-CN"/>
        </w:rPr>
        <w:t>标准</w:t>
      </w:r>
      <w:r>
        <w:rPr>
          <w:rFonts w:cs="Times New Roman"/>
          <w:kern w:val="0"/>
          <w:szCs w:val="24"/>
          <w:lang w:val="zh-CN"/>
        </w:rPr>
        <w:t>由中国工程建设标准化协会</w:t>
      </w:r>
      <w:r>
        <w:rPr>
          <w:rFonts w:cs="Times New Roman"/>
          <w:szCs w:val="24"/>
        </w:rPr>
        <w:t>建筑振动专业委员会</w:t>
      </w:r>
      <w:r>
        <w:rPr>
          <w:rFonts w:cs="Times New Roman"/>
          <w:kern w:val="0"/>
          <w:szCs w:val="24"/>
          <w:lang w:val="zh-CN"/>
        </w:rPr>
        <w:t>归口管理，由</w:t>
      </w:r>
      <w:r>
        <w:rPr>
          <w:rFonts w:cs="Times New Roman"/>
          <w:szCs w:val="24"/>
        </w:rPr>
        <w:t>中国汽车工业工程有限公司</w:t>
      </w:r>
      <w:r>
        <w:rPr>
          <w:rFonts w:cs="Times New Roman"/>
          <w:kern w:val="0"/>
          <w:szCs w:val="24"/>
          <w:lang w:val="zh-CN"/>
        </w:rPr>
        <w:t>负责具体技术内容的解释。执行过程中如有意见或建议，请反馈至</w:t>
      </w:r>
      <w:r>
        <w:rPr>
          <w:rFonts w:cs="Times New Roman"/>
          <w:szCs w:val="24"/>
        </w:rPr>
        <w:t>中国汽车工业工程有限公司</w:t>
      </w:r>
      <w:r>
        <w:rPr>
          <w:rFonts w:cs="Times New Roman"/>
          <w:kern w:val="0"/>
          <w:szCs w:val="24"/>
          <w:lang w:val="zh-CN"/>
        </w:rPr>
        <w:t>（地址：</w:t>
      </w:r>
      <w:r>
        <w:rPr>
          <w:rFonts w:cs="Times New Roman"/>
          <w:szCs w:val="24"/>
        </w:rPr>
        <w:t>天津市南开区长江道591号</w:t>
      </w:r>
      <w:r>
        <w:rPr>
          <w:rFonts w:cs="Times New Roman"/>
          <w:kern w:val="0"/>
          <w:szCs w:val="24"/>
          <w:lang w:val="zh-CN"/>
        </w:rPr>
        <w:t>，邮编：</w:t>
      </w:r>
      <w:r>
        <w:rPr>
          <w:rFonts w:cs="Times New Roman"/>
          <w:szCs w:val="24"/>
        </w:rPr>
        <w:t>300113）</w:t>
      </w:r>
      <w:r>
        <w:rPr>
          <w:rFonts w:cs="Times New Roman"/>
          <w:kern w:val="0"/>
          <w:szCs w:val="24"/>
          <w:lang w:val="zh-CN"/>
        </w:rPr>
        <w:t>。</w:t>
      </w:r>
    </w:p>
    <w:p w14:paraId="2D992BCD">
      <w:pPr>
        <w:spacing w:before="156"/>
        <w:ind w:firstLine="560"/>
        <w:rPr>
          <w:rFonts w:cs="Times New Roman"/>
          <w:szCs w:val="24"/>
        </w:rPr>
      </w:pPr>
      <w:r>
        <w:rPr>
          <w:rFonts w:cs="Times New Roman"/>
          <w:spacing w:val="20"/>
          <w:szCs w:val="24"/>
        </w:rPr>
        <w:t>主编单位</w:t>
      </w:r>
      <w:r>
        <w:rPr>
          <w:rFonts w:cs="Times New Roman"/>
          <w:b/>
          <w:spacing w:val="20"/>
          <w:szCs w:val="24"/>
        </w:rPr>
        <w:t>：</w:t>
      </w:r>
      <w:r>
        <w:rPr>
          <w:rFonts w:cs="Times New Roman"/>
          <w:szCs w:val="24"/>
        </w:rPr>
        <w:t>中国汽车工业工程有限公司</w:t>
      </w:r>
    </w:p>
    <w:p w14:paraId="683215F6">
      <w:pPr>
        <w:spacing w:before="156"/>
        <w:ind w:firstLine="1984" w:firstLineChars="827"/>
        <w:rPr>
          <w:rFonts w:cs="Times New Roman"/>
          <w:szCs w:val="24"/>
        </w:rPr>
      </w:pPr>
      <w:r>
        <w:rPr>
          <w:rFonts w:cs="Times New Roman"/>
          <w:szCs w:val="24"/>
        </w:rPr>
        <w:t>机械工业第四设计研究院有限公司</w:t>
      </w:r>
    </w:p>
    <w:p w14:paraId="64816AF0">
      <w:pPr>
        <w:spacing w:before="156"/>
        <w:ind w:firstLine="560"/>
        <w:rPr>
          <w:rFonts w:cs="Times New Roman"/>
          <w:szCs w:val="24"/>
        </w:rPr>
      </w:pPr>
      <w:r>
        <w:rPr>
          <w:rFonts w:cs="Times New Roman"/>
          <w:spacing w:val="20"/>
          <w:szCs w:val="24"/>
        </w:rPr>
        <w:t>参编单位：</w:t>
      </w:r>
      <w:r>
        <w:rPr>
          <w:rFonts w:cs="Times New Roman"/>
          <w:szCs w:val="24"/>
        </w:rPr>
        <w:t xml:space="preserve"> </w:t>
      </w:r>
    </w:p>
    <w:p w14:paraId="53F05A98">
      <w:pPr>
        <w:spacing w:before="156"/>
        <w:ind w:left="1200" w:leftChars="500" w:firstLine="782" w:firstLineChars="326"/>
        <w:rPr>
          <w:rFonts w:cs="Times New Roman"/>
          <w:szCs w:val="24"/>
        </w:rPr>
      </w:pPr>
    </w:p>
    <w:p w14:paraId="46D05827">
      <w:pPr>
        <w:spacing w:before="156"/>
        <w:ind w:firstLine="480"/>
        <w:rPr>
          <w:rFonts w:cs="Times New Roman"/>
          <w:b/>
          <w:szCs w:val="24"/>
        </w:rPr>
      </w:pPr>
      <w:r>
        <w:rPr>
          <w:rFonts w:cs="Times New Roman"/>
          <w:szCs w:val="24"/>
        </w:rPr>
        <w:t>主要起草人</w:t>
      </w:r>
      <w:r>
        <w:rPr>
          <w:rFonts w:cs="Times New Roman"/>
          <w:b/>
          <w:szCs w:val="24"/>
        </w:rPr>
        <w:t xml:space="preserve">： </w:t>
      </w:r>
    </w:p>
    <w:p w14:paraId="41D2AF54">
      <w:pPr>
        <w:spacing w:before="156"/>
        <w:ind w:firstLine="480"/>
        <w:rPr>
          <w:rFonts w:cs="Times New Roman"/>
          <w:szCs w:val="24"/>
        </w:rPr>
      </w:pPr>
      <w:r>
        <w:rPr>
          <w:rFonts w:cs="Times New Roman"/>
          <w:szCs w:val="24"/>
        </w:rPr>
        <w:t>主要审查人</w:t>
      </w:r>
      <w:r>
        <w:rPr>
          <w:rFonts w:cs="Times New Roman"/>
          <w:b/>
          <w:szCs w:val="24"/>
        </w:rPr>
        <w:t>：</w:t>
      </w:r>
      <w:r>
        <w:rPr>
          <w:rFonts w:cs="Times New Roman"/>
          <w:szCs w:val="24"/>
        </w:rPr>
        <w:t xml:space="preserve"> </w:t>
      </w:r>
    </w:p>
    <w:p w14:paraId="750C8C9E">
      <w:pPr>
        <w:widowControl/>
        <w:spacing w:before="156"/>
        <w:ind w:firstLine="0" w:firstLineChars="0"/>
        <w:jc w:val="center"/>
        <w:rPr>
          <w:rFonts w:cs="Times New Roman"/>
          <w:bCs/>
          <w:sz w:val="30"/>
          <w:szCs w:val="30"/>
        </w:rPr>
      </w:pPr>
    </w:p>
    <w:p w14:paraId="4EE927B8">
      <w:pPr>
        <w:widowControl/>
        <w:spacing w:before="156"/>
        <w:ind w:firstLine="0" w:firstLineChars="0"/>
        <w:jc w:val="center"/>
        <w:rPr>
          <w:rFonts w:cs="Times New Roman"/>
          <w:bCs/>
          <w:sz w:val="30"/>
          <w:szCs w:val="30"/>
        </w:rPr>
      </w:pPr>
    </w:p>
    <w:p w14:paraId="11344716">
      <w:pPr>
        <w:widowControl/>
        <w:spacing w:before="156"/>
        <w:ind w:firstLine="0" w:firstLineChars="0"/>
        <w:jc w:val="center"/>
        <w:rPr>
          <w:rFonts w:cs="Times New Roman"/>
          <w:bCs/>
          <w:sz w:val="30"/>
          <w:szCs w:val="30"/>
        </w:rPr>
      </w:pPr>
    </w:p>
    <w:p w14:paraId="45160BAE">
      <w:pPr>
        <w:widowControl/>
        <w:spacing w:before="156"/>
        <w:ind w:firstLine="0" w:firstLineChars="0"/>
        <w:jc w:val="center"/>
        <w:rPr>
          <w:rFonts w:cs="Times New Roman"/>
          <w:bCs/>
          <w:sz w:val="30"/>
          <w:szCs w:val="30"/>
        </w:rPr>
      </w:pPr>
    </w:p>
    <w:p w14:paraId="6ADA511C">
      <w:pPr>
        <w:widowControl/>
        <w:spacing w:before="156"/>
        <w:ind w:firstLine="0" w:firstLineChars="0"/>
        <w:jc w:val="center"/>
        <w:rPr>
          <w:rFonts w:cs="Times New Roman"/>
          <w:bCs/>
          <w:sz w:val="30"/>
          <w:szCs w:val="30"/>
        </w:rPr>
      </w:pPr>
    </w:p>
    <w:sdt>
      <w:sdtPr>
        <w:rPr>
          <w:rFonts w:ascii="Times New Roman" w:hAnsi="Times New Roman" w:eastAsia="宋体" w:cstheme="minorBidi"/>
          <w:color w:val="auto"/>
          <w:kern w:val="2"/>
          <w:sz w:val="24"/>
          <w:szCs w:val="22"/>
          <w:lang w:val="zh-CN"/>
        </w:rPr>
        <w:id w:val="-176429900"/>
        <w:docPartObj>
          <w:docPartGallery w:val="Table of Contents"/>
          <w:docPartUnique/>
        </w:docPartObj>
      </w:sdtPr>
      <w:sdtEndPr>
        <w:rPr>
          <w:rFonts w:ascii="Times New Roman" w:hAnsi="Times New Roman" w:eastAsia="宋体" w:cstheme="minorBidi"/>
          <w:b/>
          <w:bCs/>
          <w:color w:val="auto"/>
          <w:kern w:val="2"/>
          <w:sz w:val="24"/>
          <w:szCs w:val="22"/>
          <w:lang w:val="zh-CN"/>
        </w:rPr>
      </w:sdtEndPr>
      <w:sdtContent>
        <w:p w14:paraId="6A7B47A5">
          <w:pPr>
            <w:pStyle w:val="52"/>
            <w:spacing w:before="0" w:line="240" w:lineRule="auto"/>
            <w:ind w:firstLine="480"/>
            <w:rPr>
              <w:rStyle w:val="41"/>
              <w:bCs/>
              <w:color w:val="000000" w:themeColor="text1"/>
              <w14:textFill>
                <w14:solidFill>
                  <w14:schemeClr w14:val="tx1"/>
                </w14:solidFill>
              </w14:textFill>
            </w:rPr>
          </w:pPr>
          <w:r>
            <w:rPr>
              <w:rStyle w:val="41"/>
              <w:bCs/>
              <w:color w:val="000000" w:themeColor="text1"/>
              <w14:textFill>
                <w14:solidFill>
                  <w14:schemeClr w14:val="tx1"/>
                </w14:solidFill>
              </w14:textFill>
            </w:rPr>
            <w:t>目录</w:t>
          </w:r>
        </w:p>
        <w:p w14:paraId="08EF4531">
          <w:pPr>
            <w:pStyle w:val="22"/>
            <w:tabs>
              <w:tab w:val="right" w:leader="dot" w:pos="9060"/>
            </w:tabs>
            <w:spacing w:before="156"/>
            <w:ind w:firstLine="480"/>
            <w:rPr>
              <w:rFonts w:asciiTheme="minorHAnsi" w:hAnsiTheme="minorHAnsi" w:eastAsiaTheme="minorEastAsia"/>
              <w:sz w:val="21"/>
            </w:rPr>
          </w:pPr>
          <w:r>
            <w:fldChar w:fldCharType="begin"/>
          </w:r>
          <w:r>
            <w:instrText xml:space="preserve"> TOC \o "1-3" \h \z \u </w:instrText>
          </w:r>
          <w:r>
            <w:fldChar w:fldCharType="separate"/>
          </w:r>
          <w:r>
            <w:fldChar w:fldCharType="begin"/>
          </w:r>
          <w:r>
            <w:instrText xml:space="preserve"> HYPERLINK \l "_Toc206578557" </w:instrText>
          </w:r>
          <w:r>
            <w:fldChar w:fldCharType="separate"/>
          </w:r>
          <w:r>
            <w:rPr>
              <w:rStyle w:val="36"/>
            </w:rPr>
            <w:t>锻锤基础设计标准</w:t>
          </w:r>
          <w:r>
            <w:tab/>
          </w:r>
          <w:r>
            <w:fldChar w:fldCharType="begin"/>
          </w:r>
          <w:r>
            <w:instrText xml:space="preserve"> PAGEREF _Toc206578557 \h </w:instrText>
          </w:r>
          <w:r>
            <w:fldChar w:fldCharType="separate"/>
          </w:r>
          <w:r>
            <w:t>2</w:t>
          </w:r>
          <w:r>
            <w:fldChar w:fldCharType="end"/>
          </w:r>
          <w:r>
            <w:fldChar w:fldCharType="end"/>
          </w:r>
        </w:p>
        <w:p w14:paraId="5E3E26B1">
          <w:pPr>
            <w:pStyle w:val="26"/>
            <w:tabs>
              <w:tab w:val="right" w:leader="dot" w:pos="9060"/>
            </w:tabs>
            <w:spacing w:before="156"/>
            <w:ind w:left="480" w:firstLine="480"/>
            <w:rPr>
              <w:rFonts w:asciiTheme="minorHAnsi" w:hAnsiTheme="minorHAnsi" w:eastAsiaTheme="minorEastAsia"/>
              <w:sz w:val="21"/>
            </w:rPr>
          </w:pPr>
          <w:r>
            <w:fldChar w:fldCharType="begin"/>
          </w:r>
          <w:r>
            <w:instrText xml:space="preserve"> HYPERLINK \l "_Toc206578558" </w:instrText>
          </w:r>
          <w:r>
            <w:fldChar w:fldCharType="separate"/>
          </w:r>
          <w:r>
            <w:rPr>
              <w:rStyle w:val="36"/>
            </w:rPr>
            <w:t>前　　言</w:t>
          </w:r>
          <w:r>
            <w:tab/>
          </w:r>
          <w:r>
            <w:fldChar w:fldCharType="begin"/>
          </w:r>
          <w:r>
            <w:instrText xml:space="preserve"> PAGEREF _Toc206578558 \h </w:instrText>
          </w:r>
          <w:r>
            <w:fldChar w:fldCharType="separate"/>
          </w:r>
          <w:r>
            <w:t>3</w:t>
          </w:r>
          <w:r>
            <w:fldChar w:fldCharType="end"/>
          </w:r>
          <w:r>
            <w:fldChar w:fldCharType="end"/>
          </w:r>
        </w:p>
        <w:p w14:paraId="115F2F7E">
          <w:pPr>
            <w:pStyle w:val="26"/>
            <w:tabs>
              <w:tab w:val="right" w:leader="dot" w:pos="9060"/>
            </w:tabs>
            <w:spacing w:before="156"/>
            <w:ind w:left="480" w:firstLine="480"/>
            <w:rPr>
              <w:rFonts w:asciiTheme="minorHAnsi" w:hAnsiTheme="minorHAnsi" w:eastAsiaTheme="minorEastAsia"/>
              <w:sz w:val="21"/>
            </w:rPr>
          </w:pPr>
          <w:r>
            <w:fldChar w:fldCharType="begin"/>
          </w:r>
          <w:r>
            <w:instrText xml:space="preserve"> HYPERLINK \l "_Toc206578559" </w:instrText>
          </w:r>
          <w:r>
            <w:fldChar w:fldCharType="separate"/>
          </w:r>
          <w:r>
            <w:rPr>
              <w:rStyle w:val="36"/>
            </w:rPr>
            <w:t>1 总则</w:t>
          </w:r>
          <w:r>
            <w:tab/>
          </w:r>
          <w:r>
            <w:fldChar w:fldCharType="begin"/>
          </w:r>
          <w:r>
            <w:instrText xml:space="preserve"> PAGEREF _Toc206578559 \h </w:instrText>
          </w:r>
          <w:r>
            <w:fldChar w:fldCharType="separate"/>
          </w:r>
          <w:r>
            <w:t>47</w:t>
          </w:r>
          <w:r>
            <w:fldChar w:fldCharType="end"/>
          </w:r>
          <w:r>
            <w:fldChar w:fldCharType="end"/>
          </w:r>
        </w:p>
        <w:p w14:paraId="0BADAA6D">
          <w:pPr>
            <w:pStyle w:val="26"/>
            <w:tabs>
              <w:tab w:val="right" w:leader="dot" w:pos="9060"/>
            </w:tabs>
            <w:spacing w:before="156"/>
            <w:ind w:left="480" w:firstLine="480"/>
            <w:rPr>
              <w:rFonts w:asciiTheme="minorHAnsi" w:hAnsiTheme="minorHAnsi" w:eastAsiaTheme="minorEastAsia"/>
              <w:sz w:val="21"/>
            </w:rPr>
          </w:pPr>
          <w:r>
            <w:fldChar w:fldCharType="begin"/>
          </w:r>
          <w:r>
            <w:instrText xml:space="preserve"> HYPERLINK \l "_Toc206578560" </w:instrText>
          </w:r>
          <w:r>
            <w:fldChar w:fldCharType="separate"/>
          </w:r>
          <w:r>
            <w:rPr>
              <w:rStyle w:val="36"/>
            </w:rPr>
            <w:t>2术语和符号</w:t>
          </w:r>
          <w:r>
            <w:tab/>
          </w:r>
          <w:r>
            <w:fldChar w:fldCharType="begin"/>
          </w:r>
          <w:r>
            <w:instrText xml:space="preserve"> PAGEREF _Toc206578560 \h </w:instrText>
          </w:r>
          <w:r>
            <w:fldChar w:fldCharType="separate"/>
          </w:r>
          <w:r>
            <w:t>48</w:t>
          </w:r>
          <w:r>
            <w:fldChar w:fldCharType="end"/>
          </w:r>
          <w:r>
            <w:fldChar w:fldCharType="end"/>
          </w:r>
        </w:p>
        <w:p w14:paraId="206FCD2C">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"_Toc206578561" </w:instrText>
          </w:r>
          <w:r>
            <w:fldChar w:fldCharType="separate"/>
          </w:r>
          <w:r>
            <w:rPr>
              <w:rStyle w:val="36"/>
            </w:rPr>
            <w:t>2.1 术语</w:t>
          </w:r>
          <w:r>
            <w:tab/>
          </w:r>
          <w:r>
            <w:fldChar w:fldCharType="begin"/>
          </w:r>
          <w:r>
            <w:instrText xml:space="preserve"> PAGEREF _Toc206578561 \h </w:instrText>
          </w:r>
          <w:r>
            <w:fldChar w:fldCharType="separate"/>
          </w:r>
          <w:r>
            <w:t>48</w:t>
          </w:r>
          <w:r>
            <w:fldChar w:fldCharType="end"/>
          </w:r>
          <w:r>
            <w:fldChar w:fldCharType="end"/>
          </w:r>
        </w:p>
        <w:p w14:paraId="7C1EE5F3">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"_Toc206578562" </w:instrText>
          </w:r>
          <w:r>
            <w:fldChar w:fldCharType="separate"/>
          </w:r>
          <w:r>
            <w:rPr>
              <w:rStyle w:val="36"/>
            </w:rPr>
            <w:t>2.2 符号</w:t>
          </w:r>
          <w:r>
            <w:tab/>
          </w:r>
          <w:r>
            <w:fldChar w:fldCharType="begin"/>
          </w:r>
          <w:r>
            <w:instrText xml:space="preserve"> PAGEREF _Toc206578562 \h </w:instrText>
          </w:r>
          <w:r>
            <w:fldChar w:fldCharType="separate"/>
          </w:r>
          <w:r>
            <w:t>49</w:t>
          </w:r>
          <w:r>
            <w:fldChar w:fldCharType="end"/>
          </w:r>
          <w:r>
            <w:fldChar w:fldCharType="end"/>
          </w:r>
        </w:p>
        <w:p w14:paraId="48689ABB">
          <w:pPr>
            <w:pStyle w:val="26"/>
            <w:tabs>
              <w:tab w:val="right" w:leader="dot" w:pos="9060"/>
            </w:tabs>
            <w:spacing w:before="156"/>
            <w:ind w:left="480" w:firstLine="480"/>
            <w:rPr>
              <w:rFonts w:asciiTheme="minorHAnsi" w:hAnsiTheme="minorHAnsi" w:eastAsiaTheme="minorEastAsia"/>
              <w:sz w:val="21"/>
            </w:rPr>
          </w:pPr>
          <w:r>
            <w:fldChar w:fldCharType="begin"/>
          </w:r>
          <w:r>
            <w:instrText xml:space="preserve"> HYPERLINK \l "_Toc206578563" </w:instrText>
          </w:r>
          <w:r>
            <w:fldChar w:fldCharType="separate"/>
          </w:r>
          <w:r>
            <w:rPr>
              <w:rStyle w:val="36"/>
            </w:rPr>
            <w:t>3 基本规定</w:t>
          </w:r>
          <w:r>
            <w:tab/>
          </w:r>
          <w:r>
            <w:fldChar w:fldCharType="begin"/>
          </w:r>
          <w:r>
            <w:instrText xml:space="preserve"> PAGEREF _Toc206578563 \h </w:instrText>
          </w:r>
          <w:r>
            <w:fldChar w:fldCharType="separate"/>
          </w:r>
          <w:r>
            <w:t>52</w:t>
          </w:r>
          <w:r>
            <w:fldChar w:fldCharType="end"/>
          </w:r>
          <w:r>
            <w:fldChar w:fldCharType="end"/>
          </w:r>
        </w:p>
        <w:p w14:paraId="7004D0B9">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"_Toc206578564" </w:instrText>
          </w:r>
          <w:r>
            <w:fldChar w:fldCharType="separate"/>
          </w:r>
          <w:r>
            <w:rPr>
              <w:rStyle w:val="36"/>
            </w:rPr>
            <w:t>3.1一般要求</w:t>
          </w:r>
          <w:r>
            <w:tab/>
          </w:r>
          <w:r>
            <w:fldChar w:fldCharType="begin"/>
          </w:r>
          <w:r>
            <w:instrText xml:space="preserve"> PAGEREF _Toc206578564 \h </w:instrText>
          </w:r>
          <w:r>
            <w:fldChar w:fldCharType="separate"/>
          </w:r>
          <w:r>
            <w:t>52</w:t>
          </w:r>
          <w:r>
            <w:fldChar w:fldCharType="end"/>
          </w:r>
          <w:r>
            <w:fldChar w:fldCharType="end"/>
          </w:r>
        </w:p>
        <w:p w14:paraId="03C82C6B">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"_Toc206578565" </w:instrText>
          </w:r>
          <w:r>
            <w:fldChar w:fldCharType="separate"/>
          </w:r>
          <w:r>
            <w:rPr>
              <w:rStyle w:val="36"/>
            </w:rPr>
            <w:t>3.2 地基与基础设计原则</w:t>
          </w:r>
          <w:r>
            <w:tab/>
          </w:r>
          <w:r>
            <w:fldChar w:fldCharType="begin"/>
          </w:r>
          <w:r>
            <w:instrText xml:space="preserve"> PAGEREF _Toc206578565 \h </w:instrText>
          </w:r>
          <w:r>
            <w:fldChar w:fldCharType="separate"/>
          </w:r>
          <w:r>
            <w:t>53</w:t>
          </w:r>
          <w:r>
            <w:fldChar w:fldCharType="end"/>
          </w:r>
          <w:r>
            <w:fldChar w:fldCharType="end"/>
          </w:r>
        </w:p>
        <w:p w14:paraId="315CA4DE">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"_Toc206578566" </w:instrText>
          </w:r>
          <w:r>
            <w:fldChar w:fldCharType="separate"/>
          </w:r>
          <w:r>
            <w:rPr>
              <w:rStyle w:val="36"/>
            </w:rPr>
            <w:t>3.3 基础材料</w:t>
          </w:r>
          <w:r>
            <w:tab/>
          </w:r>
          <w:r>
            <w:fldChar w:fldCharType="begin"/>
          </w:r>
          <w:r>
            <w:instrText xml:space="preserve"> PAGEREF _Toc206578566 \h </w:instrText>
          </w:r>
          <w:r>
            <w:fldChar w:fldCharType="separate"/>
          </w:r>
          <w:r>
            <w:t>54</w:t>
          </w:r>
          <w:r>
            <w:fldChar w:fldCharType="end"/>
          </w:r>
          <w:r>
            <w:fldChar w:fldCharType="end"/>
          </w:r>
        </w:p>
        <w:p w14:paraId="4A2DA1A1">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"_Toc206578567" </w:instrText>
          </w:r>
          <w:r>
            <w:fldChar w:fldCharType="separate"/>
          </w:r>
          <w:r>
            <w:rPr>
              <w:rStyle w:val="36"/>
            </w:rPr>
            <w:t>3.4 基础方案</w:t>
          </w:r>
          <w:r>
            <w:tab/>
          </w:r>
          <w:r>
            <w:fldChar w:fldCharType="begin"/>
          </w:r>
          <w:r>
            <w:instrText xml:space="preserve"> PAGEREF _Toc206578567 \h </w:instrText>
          </w:r>
          <w:r>
            <w:fldChar w:fldCharType="separate"/>
          </w:r>
          <w:r>
            <w:t>54</w:t>
          </w:r>
          <w:r>
            <w:fldChar w:fldCharType="end"/>
          </w:r>
          <w:r>
            <w:fldChar w:fldCharType="end"/>
          </w:r>
        </w:p>
        <w:p w14:paraId="539E742E">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"_Toc206578568" </w:instrText>
          </w:r>
          <w:r>
            <w:fldChar w:fldCharType="separate"/>
          </w:r>
          <w:r>
            <w:rPr>
              <w:rStyle w:val="36"/>
            </w:rPr>
            <w:t>3.5 容许振动标准</w:t>
          </w:r>
          <w:r>
            <w:tab/>
          </w:r>
          <w:r>
            <w:fldChar w:fldCharType="begin"/>
          </w:r>
          <w:r>
            <w:instrText xml:space="preserve"> PAGEREF _Toc206578568 \h </w:instrText>
          </w:r>
          <w:r>
            <w:fldChar w:fldCharType="separate"/>
          </w:r>
          <w:r>
            <w:t>55</w:t>
          </w:r>
          <w:r>
            <w:fldChar w:fldCharType="end"/>
          </w:r>
          <w:r>
            <w:fldChar w:fldCharType="end"/>
          </w:r>
        </w:p>
        <w:p w14:paraId="00DBE8A0">
          <w:pPr>
            <w:pStyle w:val="26"/>
            <w:tabs>
              <w:tab w:val="right" w:leader="dot" w:pos="9060"/>
            </w:tabs>
            <w:spacing w:before="156"/>
            <w:ind w:left="480" w:firstLine="480"/>
            <w:rPr>
              <w:rFonts w:asciiTheme="minorHAnsi" w:hAnsiTheme="minorHAnsi" w:eastAsiaTheme="minorEastAsia"/>
              <w:sz w:val="21"/>
            </w:rPr>
          </w:pPr>
          <w:r>
            <w:fldChar w:fldCharType="begin"/>
          </w:r>
          <w:r>
            <w:instrText xml:space="preserve"> HYPERLINK \l "_Toc206578569" </w:instrText>
          </w:r>
          <w:r>
            <w:fldChar w:fldCharType="separate"/>
          </w:r>
          <w:r>
            <w:rPr>
              <w:rStyle w:val="36"/>
            </w:rPr>
            <w:t>4 地基动力特征参数</w:t>
          </w:r>
          <w:r>
            <w:tab/>
          </w:r>
          <w:r>
            <w:fldChar w:fldCharType="begin"/>
          </w:r>
          <w:r>
            <w:instrText xml:space="preserve"> PAGEREF _Toc206578569 \h </w:instrText>
          </w:r>
          <w:r>
            <w:fldChar w:fldCharType="separate"/>
          </w:r>
          <w:r>
            <w:t>57</w:t>
          </w:r>
          <w:r>
            <w:fldChar w:fldCharType="end"/>
          </w:r>
          <w:r>
            <w:fldChar w:fldCharType="end"/>
          </w:r>
        </w:p>
        <w:p w14:paraId="0F77E26C">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"_Toc206578570" </w:instrText>
          </w:r>
          <w:r>
            <w:fldChar w:fldCharType="separate"/>
          </w:r>
          <w:r>
            <w:rPr>
              <w:rStyle w:val="36"/>
            </w:rPr>
            <w:t>4.1一般规定</w:t>
          </w:r>
          <w:r>
            <w:tab/>
          </w:r>
          <w:r>
            <w:fldChar w:fldCharType="begin"/>
          </w:r>
          <w:r>
            <w:instrText xml:space="preserve"> PAGEREF _Toc206578570 \h </w:instrText>
          </w:r>
          <w:r>
            <w:fldChar w:fldCharType="separate"/>
          </w:r>
          <w:r>
            <w:t>57</w:t>
          </w:r>
          <w:r>
            <w:fldChar w:fldCharType="end"/>
          </w:r>
          <w:r>
            <w:fldChar w:fldCharType="end"/>
          </w:r>
        </w:p>
        <w:p w14:paraId="053607BB">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"_Toc206578571" </w:instrText>
          </w:r>
          <w:r>
            <w:fldChar w:fldCharType="separate"/>
          </w:r>
          <w:r>
            <w:rPr>
              <w:rStyle w:val="36"/>
            </w:rPr>
            <w:t>4.2 地基土分类</w:t>
          </w:r>
          <w:r>
            <w:tab/>
          </w:r>
          <w:r>
            <w:fldChar w:fldCharType="begin"/>
          </w:r>
          <w:r>
            <w:instrText xml:space="preserve"> PAGEREF _Toc206578571 \h </w:instrText>
          </w:r>
          <w:r>
            <w:fldChar w:fldCharType="separate"/>
          </w:r>
          <w:r>
            <w:t>57</w:t>
          </w:r>
          <w:r>
            <w:fldChar w:fldCharType="end"/>
          </w:r>
          <w:r>
            <w:fldChar w:fldCharType="end"/>
          </w:r>
        </w:p>
        <w:p w14:paraId="04D33C49">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"_Toc206578572" </w:instrText>
          </w:r>
          <w:r>
            <w:fldChar w:fldCharType="separate"/>
          </w:r>
          <w:r>
            <w:rPr>
              <w:rStyle w:val="36"/>
            </w:rPr>
            <w:t>4.3　地基动力特性参数</w:t>
          </w:r>
          <w:r>
            <w:tab/>
          </w:r>
          <w:r>
            <w:fldChar w:fldCharType="begin"/>
          </w:r>
          <w:r>
            <w:instrText xml:space="preserve"> PAGEREF _Toc206578572 \h </w:instrText>
          </w:r>
          <w:r>
            <w:fldChar w:fldCharType="separate"/>
          </w:r>
          <w:r>
            <w:t>58</w:t>
          </w:r>
          <w:r>
            <w:fldChar w:fldCharType="end"/>
          </w:r>
          <w:r>
            <w:fldChar w:fldCharType="end"/>
          </w:r>
        </w:p>
        <w:p w14:paraId="36BC5FD9">
          <w:pPr>
            <w:pStyle w:val="26"/>
            <w:tabs>
              <w:tab w:val="right" w:leader="dot" w:pos="9060"/>
            </w:tabs>
            <w:spacing w:before="156"/>
            <w:ind w:left="480" w:firstLine="480"/>
            <w:rPr>
              <w:rFonts w:asciiTheme="minorHAnsi" w:hAnsiTheme="minorHAnsi" w:eastAsiaTheme="minorEastAsia"/>
              <w:sz w:val="21"/>
            </w:rPr>
          </w:pPr>
          <w:r>
            <w:fldChar w:fldCharType="begin"/>
          </w:r>
          <w:r>
            <w:instrText xml:space="preserve"> HYPERLINK \l "_Toc206578573" </w:instrText>
          </w:r>
          <w:r>
            <w:fldChar w:fldCharType="separate"/>
          </w:r>
          <w:r>
            <w:rPr>
              <w:rStyle w:val="36"/>
            </w:rPr>
            <w:t>5 振动测试</w:t>
          </w:r>
          <w:r>
            <w:tab/>
          </w:r>
          <w:r>
            <w:fldChar w:fldCharType="begin"/>
          </w:r>
          <w:r>
            <w:instrText xml:space="preserve"> PAGEREF _Toc206578573 \h </w:instrText>
          </w:r>
          <w:r>
            <w:fldChar w:fldCharType="separate"/>
          </w:r>
          <w:r>
            <w:t>63</w:t>
          </w:r>
          <w:r>
            <w:fldChar w:fldCharType="end"/>
          </w:r>
          <w:r>
            <w:fldChar w:fldCharType="end"/>
          </w:r>
        </w:p>
        <w:p w14:paraId="73B5E72D">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"_Toc206578574" </w:instrText>
          </w:r>
          <w:r>
            <w:fldChar w:fldCharType="separate"/>
          </w:r>
          <w:r>
            <w:rPr>
              <w:rStyle w:val="36"/>
            </w:rPr>
            <w:t>5.1 测试方法</w:t>
          </w:r>
          <w:r>
            <w:tab/>
          </w:r>
          <w:r>
            <w:fldChar w:fldCharType="begin"/>
          </w:r>
          <w:r>
            <w:instrText xml:space="preserve"> PAGEREF _Toc206578574 \h </w:instrText>
          </w:r>
          <w:r>
            <w:fldChar w:fldCharType="separate"/>
          </w:r>
          <w:r>
            <w:t>63</w:t>
          </w:r>
          <w:r>
            <w:fldChar w:fldCharType="end"/>
          </w:r>
          <w:r>
            <w:fldChar w:fldCharType="end"/>
          </w:r>
        </w:p>
        <w:p w14:paraId="24729BB1">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"_Toc206578575" </w:instrText>
          </w:r>
          <w:r>
            <w:fldChar w:fldCharType="separate"/>
          </w:r>
          <w:r>
            <w:rPr>
              <w:rStyle w:val="36"/>
            </w:rPr>
            <w:t>5.2 数据处理</w:t>
          </w:r>
          <w:r>
            <w:tab/>
          </w:r>
          <w:r>
            <w:fldChar w:fldCharType="begin"/>
          </w:r>
          <w:r>
            <w:instrText xml:space="preserve"> PAGEREF _Toc206578575 \h </w:instrText>
          </w:r>
          <w:r>
            <w:fldChar w:fldCharType="separate"/>
          </w:r>
          <w:r>
            <w:t>64</w:t>
          </w:r>
          <w:r>
            <w:fldChar w:fldCharType="end"/>
          </w:r>
          <w:r>
            <w:fldChar w:fldCharType="end"/>
          </w:r>
        </w:p>
        <w:p w14:paraId="5BCB8FF8">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"_Toc206578576" </w:instrText>
          </w:r>
          <w:r>
            <w:fldChar w:fldCharType="separate"/>
          </w:r>
          <w:r>
            <w:rPr>
              <w:rStyle w:val="36"/>
            </w:rPr>
            <w:t>5.3 振动评估</w:t>
          </w:r>
          <w:r>
            <w:tab/>
          </w:r>
          <w:r>
            <w:fldChar w:fldCharType="begin"/>
          </w:r>
          <w:r>
            <w:instrText xml:space="preserve"> PAGEREF _Toc206578576 \h </w:instrText>
          </w:r>
          <w:r>
            <w:fldChar w:fldCharType="separate"/>
          </w:r>
          <w:r>
            <w:t>65</w:t>
          </w:r>
          <w:r>
            <w:fldChar w:fldCharType="end"/>
          </w:r>
          <w:r>
            <w:fldChar w:fldCharType="end"/>
          </w:r>
        </w:p>
        <w:p w14:paraId="2B5EFF8D">
          <w:pPr>
            <w:pStyle w:val="26"/>
            <w:tabs>
              <w:tab w:val="right" w:leader="dot" w:pos="9060"/>
            </w:tabs>
            <w:spacing w:before="156"/>
            <w:ind w:left="480" w:firstLine="480"/>
            <w:rPr>
              <w:rFonts w:asciiTheme="minorHAnsi" w:hAnsiTheme="minorHAnsi" w:eastAsiaTheme="minorEastAsia"/>
              <w:sz w:val="21"/>
            </w:rPr>
          </w:pPr>
          <w:r>
            <w:fldChar w:fldCharType="begin"/>
          </w:r>
          <w:r>
            <w:instrText xml:space="preserve"> HYPERLINK \l "_Toc206578577" </w:instrText>
          </w:r>
          <w:r>
            <w:fldChar w:fldCharType="separate"/>
          </w:r>
          <w:r>
            <w:rPr>
              <w:rStyle w:val="36"/>
            </w:rPr>
            <w:t>6 荷载分类与荷载组合</w:t>
          </w:r>
          <w:r>
            <w:tab/>
          </w:r>
          <w:r>
            <w:fldChar w:fldCharType="begin"/>
          </w:r>
          <w:r>
            <w:instrText xml:space="preserve"> PAGEREF _Toc206578577 \h </w:instrText>
          </w:r>
          <w:r>
            <w:fldChar w:fldCharType="separate"/>
          </w:r>
          <w:r>
            <w:t>66</w:t>
          </w:r>
          <w:r>
            <w:fldChar w:fldCharType="end"/>
          </w:r>
          <w:r>
            <w:fldChar w:fldCharType="end"/>
          </w:r>
        </w:p>
        <w:p w14:paraId="767E919F">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"_Toc206578578" </w:instrText>
          </w:r>
          <w:r>
            <w:fldChar w:fldCharType="separate"/>
          </w:r>
          <w:r>
            <w:rPr>
              <w:rStyle w:val="36"/>
            </w:rPr>
            <w:t>6.1 一般规定</w:t>
          </w:r>
          <w:r>
            <w:tab/>
          </w:r>
          <w:r>
            <w:fldChar w:fldCharType="begin"/>
          </w:r>
          <w:r>
            <w:instrText xml:space="preserve"> PAGEREF _Toc206578578 \h </w:instrText>
          </w:r>
          <w:r>
            <w:fldChar w:fldCharType="separate"/>
          </w:r>
          <w:r>
            <w:t>66</w:t>
          </w:r>
          <w:r>
            <w:fldChar w:fldCharType="end"/>
          </w:r>
          <w:r>
            <w:fldChar w:fldCharType="end"/>
          </w:r>
        </w:p>
        <w:p w14:paraId="70A572F3">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"_Toc206578579" </w:instrText>
          </w:r>
          <w:r>
            <w:fldChar w:fldCharType="separate"/>
          </w:r>
          <w:r>
            <w:rPr>
              <w:rStyle w:val="36"/>
            </w:rPr>
            <w:t>6.2 静力荷载</w:t>
          </w:r>
          <w:r>
            <w:tab/>
          </w:r>
          <w:r>
            <w:fldChar w:fldCharType="begin"/>
          </w:r>
          <w:r>
            <w:instrText xml:space="preserve"> PAGEREF _Toc206578579 \h </w:instrText>
          </w:r>
          <w:r>
            <w:fldChar w:fldCharType="separate"/>
          </w:r>
          <w:r>
            <w:t>66</w:t>
          </w:r>
          <w:r>
            <w:fldChar w:fldCharType="end"/>
          </w:r>
          <w:r>
            <w:fldChar w:fldCharType="end"/>
          </w:r>
        </w:p>
        <w:p w14:paraId="1637CD97">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"_Toc206578580" </w:instrText>
          </w:r>
          <w:r>
            <w:fldChar w:fldCharType="separate"/>
          </w:r>
          <w:r>
            <w:rPr>
              <w:rStyle w:val="36"/>
            </w:rPr>
            <w:t>6.3 振动荷载</w:t>
          </w:r>
          <w:r>
            <w:tab/>
          </w:r>
          <w:r>
            <w:fldChar w:fldCharType="begin"/>
          </w:r>
          <w:r>
            <w:instrText xml:space="preserve"> PAGEREF _Toc206578580 \h </w:instrText>
          </w:r>
          <w:r>
            <w:fldChar w:fldCharType="separate"/>
          </w:r>
          <w:r>
            <w:t>67</w:t>
          </w:r>
          <w:r>
            <w:fldChar w:fldCharType="end"/>
          </w:r>
          <w:r>
            <w:fldChar w:fldCharType="end"/>
          </w:r>
        </w:p>
        <w:p w14:paraId="75D6D053">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"_Toc206578581" </w:instrText>
          </w:r>
          <w:r>
            <w:fldChar w:fldCharType="separate"/>
          </w:r>
          <w:r>
            <w:rPr>
              <w:rStyle w:val="36"/>
            </w:rPr>
            <w:t>6.4 地震作用</w:t>
          </w:r>
          <w:r>
            <w:tab/>
          </w:r>
          <w:r>
            <w:fldChar w:fldCharType="begin"/>
          </w:r>
          <w:r>
            <w:instrText xml:space="preserve"> PAGEREF _Toc206578581 \h </w:instrText>
          </w:r>
          <w:r>
            <w:fldChar w:fldCharType="separate"/>
          </w:r>
          <w:r>
            <w:t>67</w:t>
          </w:r>
          <w:r>
            <w:fldChar w:fldCharType="end"/>
          </w:r>
          <w:r>
            <w:fldChar w:fldCharType="end"/>
          </w:r>
        </w:p>
        <w:p w14:paraId="4D030261">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"_Toc206578582" </w:instrText>
          </w:r>
          <w:r>
            <w:fldChar w:fldCharType="separate"/>
          </w:r>
          <w:r>
            <w:rPr>
              <w:rStyle w:val="36"/>
            </w:rPr>
            <w:t>6.5 荷载效应组合</w:t>
          </w:r>
          <w:r>
            <w:tab/>
          </w:r>
          <w:r>
            <w:fldChar w:fldCharType="begin"/>
          </w:r>
          <w:r>
            <w:instrText xml:space="preserve"> PAGEREF _Toc206578582 \h </w:instrText>
          </w:r>
          <w:r>
            <w:fldChar w:fldCharType="separate"/>
          </w:r>
          <w:r>
            <w:t>68</w:t>
          </w:r>
          <w:r>
            <w:fldChar w:fldCharType="end"/>
          </w:r>
          <w:r>
            <w:fldChar w:fldCharType="end"/>
          </w:r>
        </w:p>
        <w:p w14:paraId="077F1164">
          <w:pPr>
            <w:pStyle w:val="26"/>
            <w:tabs>
              <w:tab w:val="right" w:leader="dot" w:pos="9060"/>
            </w:tabs>
            <w:spacing w:before="156"/>
            <w:ind w:left="480" w:firstLine="480"/>
            <w:rPr>
              <w:rFonts w:asciiTheme="minorHAnsi" w:hAnsiTheme="minorHAnsi" w:eastAsiaTheme="minorEastAsia"/>
              <w:sz w:val="21"/>
            </w:rPr>
          </w:pPr>
          <w:r>
            <w:fldChar w:fldCharType="begin"/>
          </w:r>
          <w:r>
            <w:instrText xml:space="preserve"> HYPERLINK \l "_Toc206578583" </w:instrText>
          </w:r>
          <w:r>
            <w:fldChar w:fldCharType="separate"/>
          </w:r>
          <w:r>
            <w:rPr>
              <w:rStyle w:val="36"/>
            </w:rPr>
            <w:t>7 静力设计</w:t>
          </w:r>
          <w:r>
            <w:tab/>
          </w:r>
          <w:r>
            <w:fldChar w:fldCharType="begin"/>
          </w:r>
          <w:r>
            <w:instrText xml:space="preserve"> PAGEREF _Toc206578583 \h </w:instrText>
          </w:r>
          <w:r>
            <w:fldChar w:fldCharType="separate"/>
          </w:r>
          <w:r>
            <w:t>71</w:t>
          </w:r>
          <w:r>
            <w:fldChar w:fldCharType="end"/>
          </w:r>
          <w:r>
            <w:fldChar w:fldCharType="end"/>
          </w:r>
        </w:p>
        <w:p w14:paraId="30CAEE1D">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"_Toc206578584" </w:instrText>
          </w:r>
          <w:r>
            <w:fldChar w:fldCharType="separate"/>
          </w:r>
          <w:r>
            <w:rPr>
              <w:rStyle w:val="36"/>
            </w:rPr>
            <w:t>7.1 一般规定</w:t>
          </w:r>
          <w:r>
            <w:tab/>
          </w:r>
          <w:r>
            <w:fldChar w:fldCharType="begin"/>
          </w:r>
          <w:r>
            <w:instrText xml:space="preserve"> PAGEREF _Toc206578584 \h </w:instrText>
          </w:r>
          <w:r>
            <w:fldChar w:fldCharType="separate"/>
          </w:r>
          <w:r>
            <w:t>71</w:t>
          </w:r>
          <w:r>
            <w:fldChar w:fldCharType="end"/>
          </w:r>
          <w:r>
            <w:fldChar w:fldCharType="end"/>
          </w:r>
        </w:p>
        <w:p w14:paraId="741D9EA1">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"_Toc206578585" </w:instrText>
          </w:r>
          <w:r>
            <w:fldChar w:fldCharType="separate"/>
          </w:r>
          <w:r>
            <w:rPr>
              <w:rStyle w:val="36"/>
            </w:rPr>
            <w:t>7.2 地基承载力验算</w:t>
          </w:r>
          <w:r>
            <w:tab/>
          </w:r>
          <w:r>
            <w:fldChar w:fldCharType="begin"/>
          </w:r>
          <w:r>
            <w:instrText xml:space="preserve"> PAGEREF _Toc206578585 \h </w:instrText>
          </w:r>
          <w:r>
            <w:fldChar w:fldCharType="separate"/>
          </w:r>
          <w:r>
            <w:t>71</w:t>
          </w:r>
          <w:r>
            <w:fldChar w:fldCharType="end"/>
          </w:r>
          <w:r>
            <w:fldChar w:fldCharType="end"/>
          </w:r>
        </w:p>
        <w:p w14:paraId="2F5B8D5C">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"_Toc206578586" </w:instrText>
          </w:r>
          <w:r>
            <w:fldChar w:fldCharType="separate"/>
          </w:r>
          <w:r>
            <w:rPr>
              <w:rStyle w:val="36"/>
            </w:rPr>
            <w:t>7.3 基础承载力验算</w:t>
          </w:r>
          <w:r>
            <w:tab/>
          </w:r>
          <w:r>
            <w:fldChar w:fldCharType="begin"/>
          </w:r>
          <w:r>
            <w:instrText xml:space="preserve"> PAGEREF _Toc206578586 \h </w:instrText>
          </w:r>
          <w:r>
            <w:fldChar w:fldCharType="separate"/>
          </w:r>
          <w:r>
            <w:t>72</w:t>
          </w:r>
          <w:r>
            <w:fldChar w:fldCharType="end"/>
          </w:r>
          <w:r>
            <w:fldChar w:fldCharType="end"/>
          </w:r>
        </w:p>
        <w:p w14:paraId="664ADA76">
          <w:pPr>
            <w:pStyle w:val="26"/>
            <w:tabs>
              <w:tab w:val="right" w:leader="dot" w:pos="9060"/>
            </w:tabs>
            <w:spacing w:before="156"/>
            <w:ind w:left="480" w:firstLine="480"/>
            <w:rPr>
              <w:rFonts w:asciiTheme="minorHAnsi" w:hAnsiTheme="minorHAnsi" w:eastAsiaTheme="minorEastAsia"/>
              <w:sz w:val="21"/>
            </w:rPr>
          </w:pPr>
          <w:r>
            <w:fldChar w:fldCharType="begin"/>
          </w:r>
          <w:r>
            <w:instrText xml:space="preserve"> HYPERLINK \l "_Toc206578587" </w:instrText>
          </w:r>
          <w:r>
            <w:fldChar w:fldCharType="separate"/>
          </w:r>
          <w:r>
            <w:rPr>
              <w:rStyle w:val="36"/>
            </w:rPr>
            <w:t>8 刚性基础动力分析</w:t>
          </w:r>
          <w:r>
            <w:tab/>
          </w:r>
          <w:r>
            <w:fldChar w:fldCharType="begin"/>
          </w:r>
          <w:r>
            <w:instrText xml:space="preserve"> PAGEREF _Toc206578587 \h </w:instrText>
          </w:r>
          <w:r>
            <w:fldChar w:fldCharType="separate"/>
          </w:r>
          <w:r>
            <w:t>74</w:t>
          </w:r>
          <w:r>
            <w:fldChar w:fldCharType="end"/>
          </w:r>
          <w:r>
            <w:fldChar w:fldCharType="end"/>
          </w:r>
        </w:p>
        <w:p w14:paraId="60ABCB1D">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"_Toc206578588" </w:instrText>
          </w:r>
          <w:r>
            <w:fldChar w:fldCharType="separate"/>
          </w:r>
          <w:r>
            <w:rPr>
              <w:rStyle w:val="36"/>
            </w:rPr>
            <w:t>8.1 一般规定</w:t>
          </w:r>
          <w:r>
            <w:tab/>
          </w:r>
          <w:r>
            <w:fldChar w:fldCharType="begin"/>
          </w:r>
          <w:r>
            <w:instrText xml:space="preserve"> PAGEREF _Toc206578588 \h </w:instrText>
          </w:r>
          <w:r>
            <w:fldChar w:fldCharType="separate"/>
          </w:r>
          <w:r>
            <w:t>74</w:t>
          </w:r>
          <w:r>
            <w:fldChar w:fldCharType="end"/>
          </w:r>
          <w:r>
            <w:fldChar w:fldCharType="end"/>
          </w:r>
        </w:p>
        <w:p w14:paraId="399C071B">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"_Toc206578589" </w:instrText>
          </w:r>
          <w:r>
            <w:fldChar w:fldCharType="separate"/>
          </w:r>
          <w:r>
            <w:rPr>
              <w:rStyle w:val="36"/>
            </w:rPr>
            <w:t>8.2 振动计算</w:t>
          </w:r>
          <w:r>
            <w:tab/>
          </w:r>
          <w:r>
            <w:fldChar w:fldCharType="begin"/>
          </w:r>
          <w:r>
            <w:instrText xml:space="preserve"> PAGEREF _Toc206578589 \h </w:instrText>
          </w:r>
          <w:r>
            <w:fldChar w:fldCharType="separate"/>
          </w:r>
          <w:r>
            <w:t>74</w:t>
          </w:r>
          <w:r>
            <w:fldChar w:fldCharType="end"/>
          </w:r>
          <w:r>
            <w:fldChar w:fldCharType="end"/>
          </w:r>
        </w:p>
        <w:p w14:paraId="31C95C0B">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"_Toc206578590" </w:instrText>
          </w:r>
          <w:r>
            <w:fldChar w:fldCharType="separate"/>
          </w:r>
          <w:r>
            <w:rPr>
              <w:rStyle w:val="36"/>
            </w:rPr>
            <w:t>8.3 数值分析</w:t>
          </w:r>
          <w:r>
            <w:tab/>
          </w:r>
          <w:r>
            <w:fldChar w:fldCharType="begin"/>
          </w:r>
          <w:r>
            <w:instrText xml:space="preserve"> PAGEREF _Toc206578590 \h </w:instrText>
          </w:r>
          <w:r>
            <w:fldChar w:fldCharType="separate"/>
          </w:r>
          <w:r>
            <w:t>75</w:t>
          </w:r>
          <w:r>
            <w:fldChar w:fldCharType="end"/>
          </w:r>
          <w:r>
            <w:fldChar w:fldCharType="end"/>
          </w:r>
        </w:p>
        <w:p w14:paraId="14DCE58B">
          <w:pPr>
            <w:pStyle w:val="26"/>
            <w:tabs>
              <w:tab w:val="right" w:leader="dot" w:pos="9060"/>
            </w:tabs>
            <w:spacing w:before="156"/>
            <w:ind w:left="480" w:firstLine="480"/>
            <w:rPr>
              <w:rFonts w:asciiTheme="minorHAnsi" w:hAnsiTheme="minorHAnsi" w:eastAsiaTheme="minorEastAsia"/>
              <w:sz w:val="21"/>
            </w:rPr>
          </w:pPr>
          <w:r>
            <w:fldChar w:fldCharType="begin"/>
          </w:r>
          <w:r>
            <w:instrText xml:space="preserve"> HYPERLINK \l "_Toc206578591" </w:instrText>
          </w:r>
          <w:r>
            <w:fldChar w:fldCharType="separate"/>
          </w:r>
          <w:r>
            <w:rPr>
              <w:rStyle w:val="36"/>
            </w:rPr>
            <w:t>9 隔振基础设计</w:t>
          </w:r>
          <w:r>
            <w:tab/>
          </w:r>
          <w:r>
            <w:fldChar w:fldCharType="begin"/>
          </w:r>
          <w:r>
            <w:instrText xml:space="preserve"> PAGEREF _Toc206578591 \h </w:instrText>
          </w:r>
          <w:r>
            <w:fldChar w:fldCharType="separate"/>
          </w:r>
          <w:r>
            <w:t>78</w:t>
          </w:r>
          <w:r>
            <w:fldChar w:fldCharType="end"/>
          </w:r>
          <w:r>
            <w:fldChar w:fldCharType="end"/>
          </w:r>
        </w:p>
        <w:p w14:paraId="795ECD46">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"_Toc206578592" </w:instrText>
          </w:r>
          <w:r>
            <w:fldChar w:fldCharType="separate"/>
          </w:r>
          <w:r>
            <w:rPr>
              <w:rStyle w:val="36"/>
            </w:rPr>
            <w:t>9.1 一般规定</w:t>
          </w:r>
          <w:r>
            <w:tab/>
          </w:r>
          <w:r>
            <w:fldChar w:fldCharType="begin"/>
          </w:r>
          <w:r>
            <w:instrText xml:space="preserve"> PAGEREF _Toc206578592 \h </w:instrText>
          </w:r>
          <w:r>
            <w:fldChar w:fldCharType="separate"/>
          </w:r>
          <w:r>
            <w:t>78</w:t>
          </w:r>
          <w:r>
            <w:fldChar w:fldCharType="end"/>
          </w:r>
          <w:r>
            <w:fldChar w:fldCharType="end"/>
          </w:r>
        </w:p>
        <w:p w14:paraId="44F5F715">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"_Toc206578593" </w:instrText>
          </w:r>
          <w:r>
            <w:fldChar w:fldCharType="separate"/>
          </w:r>
          <w:r>
            <w:rPr>
              <w:rStyle w:val="36"/>
            </w:rPr>
            <w:t>9.2 技术方案</w:t>
          </w:r>
          <w:r>
            <w:tab/>
          </w:r>
          <w:r>
            <w:fldChar w:fldCharType="begin"/>
          </w:r>
          <w:r>
            <w:instrText xml:space="preserve"> PAGEREF _Toc206578593 \h </w:instrText>
          </w:r>
          <w:r>
            <w:fldChar w:fldCharType="separate"/>
          </w:r>
          <w:r>
            <w:t>78</w:t>
          </w:r>
          <w:r>
            <w:fldChar w:fldCharType="end"/>
          </w:r>
          <w:r>
            <w:fldChar w:fldCharType="end"/>
          </w:r>
        </w:p>
        <w:p w14:paraId="2B14B5D3">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"_Toc206578594" </w:instrText>
          </w:r>
          <w:r>
            <w:fldChar w:fldCharType="separate"/>
          </w:r>
          <w:r>
            <w:rPr>
              <w:rStyle w:val="36"/>
            </w:rPr>
            <w:t>9.3 经验公式</w:t>
          </w:r>
          <w:r>
            <w:tab/>
          </w:r>
          <w:r>
            <w:fldChar w:fldCharType="begin"/>
          </w:r>
          <w:r>
            <w:instrText xml:space="preserve"> PAGEREF _Toc206578594 \h </w:instrText>
          </w:r>
          <w:r>
            <w:fldChar w:fldCharType="separate"/>
          </w:r>
          <w:r>
            <w:t>79</w:t>
          </w:r>
          <w:r>
            <w:fldChar w:fldCharType="end"/>
          </w:r>
          <w:r>
            <w:fldChar w:fldCharType="end"/>
          </w:r>
        </w:p>
        <w:p w14:paraId="54902748">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"_Toc206578595" </w:instrText>
          </w:r>
          <w:r>
            <w:fldChar w:fldCharType="separate"/>
          </w:r>
          <w:r>
            <w:rPr>
              <w:rStyle w:val="36"/>
            </w:rPr>
            <w:t>9.4 振动理论分析</w:t>
          </w:r>
          <w:r>
            <w:tab/>
          </w:r>
          <w:r>
            <w:fldChar w:fldCharType="begin"/>
          </w:r>
          <w:r>
            <w:instrText xml:space="preserve"> PAGEREF _Toc206578595 \h </w:instrText>
          </w:r>
          <w:r>
            <w:fldChar w:fldCharType="separate"/>
          </w:r>
          <w:r>
            <w:t>80</w:t>
          </w:r>
          <w:r>
            <w:fldChar w:fldCharType="end"/>
          </w:r>
          <w:r>
            <w:fldChar w:fldCharType="end"/>
          </w:r>
        </w:p>
        <w:p w14:paraId="393FE7DF">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"_Toc206578596" </w:instrText>
          </w:r>
          <w:r>
            <w:fldChar w:fldCharType="separate"/>
          </w:r>
          <w:r>
            <w:rPr>
              <w:rStyle w:val="36"/>
            </w:rPr>
            <w:t>9.5 数值仿真</w:t>
          </w:r>
          <w:r>
            <w:tab/>
          </w:r>
          <w:r>
            <w:fldChar w:fldCharType="begin"/>
          </w:r>
          <w:r>
            <w:instrText xml:space="preserve"> PAGEREF _Toc206578596 \h </w:instrText>
          </w:r>
          <w:r>
            <w:fldChar w:fldCharType="separate"/>
          </w:r>
          <w:r>
            <w:t>82</w:t>
          </w:r>
          <w:r>
            <w:fldChar w:fldCharType="end"/>
          </w:r>
          <w:r>
            <w:fldChar w:fldCharType="end"/>
          </w:r>
        </w:p>
        <w:p w14:paraId="63AF335F">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"_Toc206578597" </w:instrText>
          </w:r>
          <w:r>
            <w:fldChar w:fldCharType="separate"/>
          </w:r>
          <w:r>
            <w:rPr>
              <w:rStyle w:val="36"/>
            </w:rPr>
            <w:t>9.6 隔振器与阻尼器选用</w:t>
          </w:r>
          <w:r>
            <w:tab/>
          </w:r>
          <w:r>
            <w:fldChar w:fldCharType="begin"/>
          </w:r>
          <w:r>
            <w:instrText xml:space="preserve"> PAGEREF _Toc206578597 \h </w:instrText>
          </w:r>
          <w:r>
            <w:fldChar w:fldCharType="separate"/>
          </w:r>
          <w:r>
            <w:t>82</w:t>
          </w:r>
          <w:r>
            <w:fldChar w:fldCharType="end"/>
          </w:r>
          <w:r>
            <w:fldChar w:fldCharType="end"/>
          </w:r>
        </w:p>
        <w:p w14:paraId="5352A9CA">
          <w:pPr>
            <w:pStyle w:val="26"/>
            <w:tabs>
              <w:tab w:val="right" w:leader="dot" w:pos="9060"/>
            </w:tabs>
            <w:spacing w:before="156"/>
            <w:ind w:left="480" w:firstLine="480"/>
            <w:rPr>
              <w:rFonts w:asciiTheme="minorHAnsi" w:hAnsiTheme="minorHAnsi" w:eastAsiaTheme="minorEastAsia"/>
              <w:sz w:val="21"/>
            </w:rPr>
          </w:pPr>
          <w:r>
            <w:fldChar w:fldCharType="begin"/>
          </w:r>
          <w:r>
            <w:instrText xml:space="preserve"> HYPERLINK \l "_Toc206578598" </w:instrText>
          </w:r>
          <w:r>
            <w:fldChar w:fldCharType="separate"/>
          </w:r>
          <w:r>
            <w:rPr>
              <w:rStyle w:val="36"/>
            </w:rPr>
            <w:t>10、基础构造措施</w:t>
          </w:r>
          <w:r>
            <w:tab/>
          </w:r>
          <w:r>
            <w:fldChar w:fldCharType="begin"/>
          </w:r>
          <w:r>
            <w:instrText xml:space="preserve"> PAGEREF _Toc206578598 \h </w:instrText>
          </w:r>
          <w:r>
            <w:fldChar w:fldCharType="separate"/>
          </w:r>
          <w:r>
            <w:t>85</w:t>
          </w:r>
          <w:r>
            <w:fldChar w:fldCharType="end"/>
          </w:r>
          <w:r>
            <w:fldChar w:fldCharType="end"/>
          </w:r>
        </w:p>
        <w:p w14:paraId="254881E7">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"_Toc206578599" </w:instrText>
          </w:r>
          <w:r>
            <w:fldChar w:fldCharType="separate"/>
          </w:r>
          <w:r>
            <w:rPr>
              <w:rStyle w:val="36"/>
            </w:rPr>
            <w:t>10.1 一般规定</w:t>
          </w:r>
          <w:r>
            <w:tab/>
          </w:r>
          <w:r>
            <w:fldChar w:fldCharType="begin"/>
          </w:r>
          <w:r>
            <w:instrText xml:space="preserve"> PAGEREF _Toc206578599 \h </w:instrText>
          </w:r>
          <w:r>
            <w:fldChar w:fldCharType="separate"/>
          </w:r>
          <w:r>
            <w:t>85</w:t>
          </w:r>
          <w:r>
            <w:fldChar w:fldCharType="end"/>
          </w:r>
          <w:r>
            <w:fldChar w:fldCharType="end"/>
          </w:r>
        </w:p>
        <w:p w14:paraId="69AC3463">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"_Toc206578600" </w:instrText>
          </w:r>
          <w:r>
            <w:fldChar w:fldCharType="separate"/>
          </w:r>
          <w:r>
            <w:rPr>
              <w:rStyle w:val="36"/>
            </w:rPr>
            <w:t>10.2 基础材料</w:t>
          </w:r>
          <w:r>
            <w:tab/>
          </w:r>
          <w:r>
            <w:fldChar w:fldCharType="begin"/>
          </w:r>
          <w:r>
            <w:instrText xml:space="preserve"> PAGEREF _Toc206578600 \h </w:instrText>
          </w:r>
          <w:r>
            <w:fldChar w:fldCharType="separate"/>
          </w:r>
          <w:r>
            <w:t>86</w:t>
          </w:r>
          <w:r>
            <w:fldChar w:fldCharType="end"/>
          </w:r>
          <w:r>
            <w:fldChar w:fldCharType="end"/>
          </w:r>
        </w:p>
        <w:p w14:paraId="0E62A005">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"_Toc206578601" </w:instrText>
          </w:r>
          <w:r>
            <w:fldChar w:fldCharType="separate"/>
          </w:r>
          <w:r>
            <w:rPr>
              <w:rStyle w:val="36"/>
            </w:rPr>
            <w:t>10.3 构造尺寸</w:t>
          </w:r>
          <w:r>
            <w:tab/>
          </w:r>
          <w:r>
            <w:fldChar w:fldCharType="begin"/>
          </w:r>
          <w:r>
            <w:instrText xml:space="preserve"> PAGEREF _Toc206578601 \h </w:instrText>
          </w:r>
          <w:r>
            <w:fldChar w:fldCharType="separate"/>
          </w:r>
          <w:r>
            <w:t>87</w:t>
          </w:r>
          <w:r>
            <w:fldChar w:fldCharType="end"/>
          </w:r>
          <w:r>
            <w:fldChar w:fldCharType="end"/>
          </w:r>
        </w:p>
        <w:p w14:paraId="78A1A26D">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"_Toc206578602" </w:instrText>
          </w:r>
          <w:r>
            <w:fldChar w:fldCharType="separate"/>
          </w:r>
          <w:r>
            <w:rPr>
              <w:rStyle w:val="36"/>
            </w:rPr>
            <w:t>10.4 地基处理</w:t>
          </w:r>
          <w:r>
            <w:tab/>
          </w:r>
          <w:r>
            <w:fldChar w:fldCharType="begin"/>
          </w:r>
          <w:r>
            <w:instrText xml:space="preserve"> PAGEREF _Toc206578602 \h </w:instrText>
          </w:r>
          <w:r>
            <w:fldChar w:fldCharType="separate"/>
          </w:r>
          <w:r>
            <w:t>91</w:t>
          </w:r>
          <w:r>
            <w:fldChar w:fldCharType="end"/>
          </w:r>
          <w:r>
            <w:fldChar w:fldCharType="end"/>
          </w:r>
        </w:p>
        <w:p w14:paraId="6BE11BCB">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"_Toc206578603" </w:instrText>
          </w:r>
          <w:r>
            <w:fldChar w:fldCharType="separate"/>
          </w:r>
          <w:r>
            <w:rPr>
              <w:rStyle w:val="36"/>
            </w:rPr>
            <w:t>10.5 施工与验收</w:t>
          </w:r>
          <w:r>
            <w:tab/>
          </w:r>
          <w:r>
            <w:fldChar w:fldCharType="begin"/>
          </w:r>
          <w:r>
            <w:instrText xml:space="preserve"> PAGEREF _Toc206578603 \h </w:instrText>
          </w:r>
          <w:r>
            <w:fldChar w:fldCharType="separate"/>
          </w:r>
          <w:r>
            <w:t>91</w:t>
          </w:r>
          <w:r>
            <w:fldChar w:fldCharType="end"/>
          </w:r>
          <w:r>
            <w:fldChar w:fldCharType="end"/>
          </w:r>
        </w:p>
        <w:p w14:paraId="35F41FAD">
          <w:pPr>
            <w:pStyle w:val="26"/>
            <w:tabs>
              <w:tab w:val="right" w:leader="dot" w:pos="9060"/>
            </w:tabs>
            <w:spacing w:before="156"/>
            <w:ind w:left="480" w:firstLine="480"/>
            <w:rPr>
              <w:rFonts w:asciiTheme="minorHAnsi" w:hAnsiTheme="minorHAnsi" w:eastAsiaTheme="minorEastAsia"/>
              <w:sz w:val="21"/>
            </w:rPr>
          </w:pPr>
          <w:r>
            <w:fldChar w:fldCharType="begin"/>
          </w:r>
          <w:r>
            <w:instrText xml:space="preserve"> HYPERLINK \l "_Toc206578604" </w:instrText>
          </w:r>
          <w:r>
            <w:fldChar w:fldCharType="separate"/>
          </w:r>
          <w:r>
            <w:rPr>
              <w:rStyle w:val="36"/>
            </w:rPr>
            <w:t>11、监测与运维</w:t>
          </w:r>
          <w:r>
            <w:tab/>
          </w:r>
          <w:r>
            <w:fldChar w:fldCharType="begin"/>
          </w:r>
          <w:r>
            <w:instrText xml:space="preserve"> PAGEREF _Toc206578604 \h </w:instrText>
          </w:r>
          <w:r>
            <w:fldChar w:fldCharType="separate"/>
          </w:r>
          <w:r>
            <w:t>93</w:t>
          </w:r>
          <w:r>
            <w:fldChar w:fldCharType="end"/>
          </w:r>
          <w:r>
            <w:fldChar w:fldCharType="end"/>
          </w:r>
        </w:p>
        <w:p w14:paraId="716FFD19">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"_Toc206578605" </w:instrText>
          </w:r>
          <w:r>
            <w:fldChar w:fldCharType="separate"/>
          </w:r>
          <w:r>
            <w:rPr>
              <w:rStyle w:val="36"/>
            </w:rPr>
            <w:t>11.1 一般规定</w:t>
          </w:r>
          <w:r>
            <w:tab/>
          </w:r>
          <w:r>
            <w:fldChar w:fldCharType="begin"/>
          </w:r>
          <w:r>
            <w:instrText xml:space="preserve"> PAGEREF _Toc206578605 \h </w:instrText>
          </w:r>
          <w:r>
            <w:fldChar w:fldCharType="separate"/>
          </w:r>
          <w:r>
            <w:t>93</w:t>
          </w:r>
          <w:r>
            <w:fldChar w:fldCharType="end"/>
          </w:r>
          <w:r>
            <w:fldChar w:fldCharType="end"/>
          </w:r>
        </w:p>
        <w:p w14:paraId="704D8C55">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"_Toc206578606" </w:instrText>
          </w:r>
          <w:r>
            <w:fldChar w:fldCharType="separate"/>
          </w:r>
          <w:r>
            <w:rPr>
              <w:rStyle w:val="36"/>
            </w:rPr>
            <w:t>11.2 振动监测</w:t>
          </w:r>
          <w:r>
            <w:tab/>
          </w:r>
          <w:r>
            <w:fldChar w:fldCharType="begin"/>
          </w:r>
          <w:r>
            <w:instrText xml:space="preserve"> PAGEREF _Toc206578606 \h </w:instrText>
          </w:r>
          <w:r>
            <w:fldChar w:fldCharType="separate"/>
          </w:r>
          <w:r>
            <w:t>93</w:t>
          </w:r>
          <w:r>
            <w:fldChar w:fldCharType="end"/>
          </w:r>
          <w:r>
            <w:fldChar w:fldCharType="end"/>
          </w:r>
        </w:p>
        <w:p w14:paraId="6A0D9A94">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"_Toc206578607" </w:instrText>
          </w:r>
          <w:r>
            <w:fldChar w:fldCharType="separate"/>
          </w:r>
          <w:r>
            <w:rPr>
              <w:rStyle w:val="36"/>
            </w:rPr>
            <w:t>11.3 数据处理与分析</w:t>
          </w:r>
          <w:r>
            <w:tab/>
          </w:r>
          <w:r>
            <w:fldChar w:fldCharType="begin"/>
          </w:r>
          <w:r>
            <w:instrText xml:space="preserve"> PAGEREF _Toc206578607 \h </w:instrText>
          </w:r>
          <w:r>
            <w:fldChar w:fldCharType="separate"/>
          </w:r>
          <w:r>
            <w:t>93</w:t>
          </w:r>
          <w:r>
            <w:fldChar w:fldCharType="end"/>
          </w:r>
          <w:r>
            <w:fldChar w:fldCharType="end"/>
          </w:r>
        </w:p>
        <w:p w14:paraId="26F009CA">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"_Toc206578608" </w:instrText>
          </w:r>
          <w:r>
            <w:fldChar w:fldCharType="separate"/>
          </w:r>
          <w:r>
            <w:rPr>
              <w:rStyle w:val="36"/>
            </w:rPr>
            <w:t>11.4 运维管理</w:t>
          </w:r>
          <w:r>
            <w:tab/>
          </w:r>
          <w:r>
            <w:fldChar w:fldCharType="begin"/>
          </w:r>
          <w:r>
            <w:instrText xml:space="preserve"> PAGEREF _Toc206578608 \h </w:instrText>
          </w:r>
          <w:r>
            <w:fldChar w:fldCharType="separate"/>
          </w:r>
          <w:r>
            <w:t>94</w:t>
          </w:r>
          <w:r>
            <w:fldChar w:fldCharType="end"/>
          </w:r>
          <w:r>
            <w:fldChar w:fldCharType="end"/>
          </w:r>
        </w:p>
        <w:p w14:paraId="61B4650B">
          <w:pPr>
            <w:pStyle w:val="26"/>
            <w:tabs>
              <w:tab w:val="right" w:leader="dot" w:pos="9060"/>
            </w:tabs>
            <w:spacing w:before="156"/>
            <w:ind w:left="480" w:firstLine="480"/>
            <w:rPr>
              <w:rFonts w:asciiTheme="minorHAnsi" w:hAnsiTheme="minorHAnsi" w:eastAsiaTheme="minorEastAsia"/>
              <w:sz w:val="21"/>
            </w:rPr>
          </w:pPr>
          <w:r>
            <w:fldChar w:fldCharType="begin"/>
          </w:r>
          <w:r>
            <w:instrText xml:space="preserve"> HYPERLINK \l "_Toc206578609" </w:instrText>
          </w:r>
          <w:r>
            <w:fldChar w:fldCharType="separate"/>
          </w:r>
          <w:r>
            <w:rPr>
              <w:rStyle w:val="36"/>
            </w:rPr>
            <w:t>附录A、振动传播评估</w:t>
          </w:r>
          <w:r>
            <w:tab/>
          </w:r>
          <w:r>
            <w:fldChar w:fldCharType="begin"/>
          </w:r>
          <w:r>
            <w:instrText xml:space="preserve"> PAGEREF _Toc206578609 \h </w:instrText>
          </w:r>
          <w:r>
            <w:fldChar w:fldCharType="separate"/>
          </w:r>
          <w:r>
            <w:t>95</w:t>
          </w:r>
          <w:r>
            <w:fldChar w:fldCharType="end"/>
          </w:r>
          <w:r>
            <w:fldChar w:fldCharType="end"/>
          </w:r>
        </w:p>
        <w:p w14:paraId="60954EF4">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"_Toc206578610" </w:instrText>
          </w:r>
          <w:r>
            <w:fldChar w:fldCharType="separate"/>
          </w:r>
          <w:r>
            <w:rPr>
              <w:rStyle w:val="36"/>
            </w:rPr>
            <w:t>A.1 一般规定</w:t>
          </w:r>
          <w:r>
            <w:tab/>
          </w:r>
          <w:r>
            <w:fldChar w:fldCharType="begin"/>
          </w:r>
          <w:r>
            <w:instrText xml:space="preserve"> PAGEREF _Toc206578610 \h </w:instrText>
          </w:r>
          <w:r>
            <w:fldChar w:fldCharType="separate"/>
          </w:r>
          <w:r>
            <w:t>95</w:t>
          </w:r>
          <w:r>
            <w:fldChar w:fldCharType="end"/>
          </w:r>
          <w:r>
            <w:fldChar w:fldCharType="end"/>
          </w:r>
        </w:p>
        <w:p w14:paraId="5B02DF6C">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"_Toc206578611" </w:instrText>
          </w:r>
          <w:r>
            <w:fldChar w:fldCharType="separate"/>
          </w:r>
          <w:r>
            <w:rPr>
              <w:rStyle w:val="36"/>
            </w:rPr>
            <w:t>A.2 振动传播分析</w:t>
          </w:r>
          <w:r>
            <w:tab/>
          </w:r>
          <w:r>
            <w:fldChar w:fldCharType="begin"/>
          </w:r>
          <w:r>
            <w:instrText xml:space="preserve"> PAGEREF _Toc206578611 \h </w:instrText>
          </w:r>
          <w:r>
            <w:fldChar w:fldCharType="separate"/>
          </w:r>
          <w:r>
            <w:t>95</w:t>
          </w:r>
          <w:r>
            <w:fldChar w:fldCharType="end"/>
          </w:r>
          <w:r>
            <w:fldChar w:fldCharType="end"/>
          </w:r>
        </w:p>
        <w:p w14:paraId="18422AF2">
          <w:pPr>
            <w:pStyle w:val="16"/>
            <w:tabs>
              <w:tab w:val="right" w:leader="dot" w:pos="9060"/>
            </w:tabs>
            <w:spacing w:before="156"/>
            <w:ind w:left="960" w:firstLine="480"/>
            <w:rPr>
              <w:rFonts w:asciiTheme="minorHAnsi" w:hAnsiTheme="minorHAnsi" w:eastAsiaTheme="minorEastAsia"/>
              <w:sz w:val="21"/>
            </w:rPr>
          </w:pPr>
          <w:r>
            <w:fldChar w:fldCharType="begin"/>
          </w:r>
          <w:r>
            <w:instrText xml:space="preserve"> HYPERLINK \l "_Toc206578612" </w:instrText>
          </w:r>
          <w:r>
            <w:fldChar w:fldCharType="separate"/>
          </w:r>
          <w:r>
            <w:rPr>
              <w:rStyle w:val="36"/>
            </w:rPr>
            <w:t>A.3　报告编制</w:t>
          </w:r>
          <w:r>
            <w:tab/>
          </w:r>
          <w:r>
            <w:fldChar w:fldCharType="begin"/>
          </w:r>
          <w:r>
            <w:instrText xml:space="preserve"> PAGEREF _Toc206578612 \h </w:instrText>
          </w:r>
          <w:r>
            <w:fldChar w:fldCharType="separate"/>
          </w:r>
          <w:r>
            <w:t>98</w:t>
          </w:r>
          <w:r>
            <w:fldChar w:fldCharType="end"/>
          </w:r>
          <w:r>
            <w:fldChar w:fldCharType="end"/>
          </w:r>
        </w:p>
        <w:p w14:paraId="3D76514B">
          <w:pPr>
            <w:pStyle w:val="26"/>
            <w:tabs>
              <w:tab w:val="right" w:leader="dot" w:pos="9060"/>
            </w:tabs>
            <w:spacing w:before="156"/>
            <w:ind w:left="480" w:firstLine="480"/>
            <w:rPr>
              <w:rFonts w:asciiTheme="minorHAnsi" w:hAnsiTheme="minorHAnsi" w:eastAsiaTheme="minorEastAsia"/>
              <w:sz w:val="21"/>
            </w:rPr>
          </w:pPr>
          <w:r>
            <w:fldChar w:fldCharType="begin"/>
          </w:r>
          <w:r>
            <w:instrText xml:space="preserve"> HYPERLINK \l "_Toc206578613" </w:instrText>
          </w:r>
          <w:r>
            <w:fldChar w:fldCharType="separate"/>
          </w:r>
          <w:r>
            <w:rPr>
              <w:rStyle w:val="36"/>
            </w:rPr>
            <w:t>附录B  冲击式机器基础有阻尼动力系数</w:t>
          </w:r>
          <w:r>
            <w:rPr>
              <w:rStyle w:val="36"/>
              <w:rFonts w:ascii="Cambria Math" w:hAnsi="Cambria Math"/>
              <w:i/>
            </w:rPr>
            <w:t>η</w:t>
          </w:r>
          <w:r>
            <w:rPr>
              <w:rStyle w:val="36"/>
              <w:vertAlign w:val="subscript"/>
            </w:rPr>
            <w:t>max</w:t>
          </w:r>
          <w:r>
            <w:rPr>
              <w:rStyle w:val="36"/>
            </w:rPr>
            <w:t>值的计算</w:t>
          </w:r>
          <w:r>
            <w:tab/>
          </w:r>
          <w:r>
            <w:fldChar w:fldCharType="begin"/>
          </w:r>
          <w:r>
            <w:instrText xml:space="preserve"> PAGEREF _Toc206578613 \h </w:instrText>
          </w:r>
          <w:r>
            <w:fldChar w:fldCharType="separate"/>
          </w:r>
          <w:r>
            <w:t>100</w:t>
          </w:r>
          <w:r>
            <w:fldChar w:fldCharType="end"/>
          </w:r>
          <w:r>
            <w:fldChar w:fldCharType="end"/>
          </w:r>
        </w:p>
        <w:p w14:paraId="167865E7">
          <w:pPr>
            <w:pStyle w:val="16"/>
            <w:tabs>
              <w:tab w:val="right" w:leader="dot" w:pos="9060"/>
            </w:tabs>
            <w:spacing w:before="156" w:line="240" w:lineRule="auto"/>
            <w:ind w:left="960" w:firstLine="482"/>
          </w:pPr>
          <w:r>
            <w:rPr>
              <w:b/>
              <w:bCs/>
              <w:lang w:val="zh-CN"/>
            </w:rPr>
            <w:fldChar w:fldCharType="end"/>
          </w:r>
        </w:p>
      </w:sdtContent>
    </w:sdt>
    <w:p w14:paraId="3FFE9F8C">
      <w:pPr>
        <w:pStyle w:val="53"/>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992" w:gutter="0"/>
          <w:cols w:space="425" w:num="1"/>
          <w:docGrid w:type="lines" w:linePitch="312" w:charSpace="0"/>
        </w:sectPr>
      </w:pPr>
    </w:p>
    <w:p w14:paraId="046E55F3">
      <w:pPr>
        <w:pStyle w:val="3"/>
      </w:pPr>
      <w:r>
        <w:rPr>
          <w:rFonts w:hint="eastAsia"/>
        </w:rPr>
        <w:t>1</w:t>
      </w:r>
      <w:r>
        <w:t xml:space="preserve"> </w:t>
      </w:r>
      <w:r>
        <w:rPr>
          <w:rFonts w:hint="eastAsia"/>
        </w:rPr>
        <w:t>总则</w:t>
      </w:r>
    </w:p>
    <w:p w14:paraId="66A98A3A">
      <w:pPr>
        <w:pStyle w:val="5"/>
        <w:spacing w:before="156"/>
        <w:ind w:firstLine="240"/>
      </w:pPr>
      <w:r>
        <w:rPr>
          <w:rFonts w:hint="eastAsia"/>
        </w:rPr>
        <w:t>1.0.1　为规范锻锤基础设计的技术要求，贯彻国家技术经济政策，确保结构安全可靠、功能适用、经济合理，满足正常生产要求及环境保护需求，制定本标准。</w:t>
      </w:r>
    </w:p>
    <w:p w14:paraId="64D6341A">
      <w:pPr>
        <w:pStyle w:val="5"/>
        <w:spacing w:before="156"/>
        <w:ind w:firstLine="240"/>
      </w:pPr>
      <w:r>
        <w:rPr>
          <w:rFonts w:hint="eastAsia"/>
        </w:rPr>
        <w:t>1.0.2　本标准适用于下列锻锤设备隔振基础与非隔振基础的设计。</w:t>
      </w:r>
    </w:p>
    <w:p w14:paraId="1BA28BAD">
      <w:pPr>
        <w:pStyle w:val="5"/>
        <w:spacing w:before="156"/>
        <w:ind w:firstLine="240"/>
      </w:pPr>
      <w:r>
        <w:rPr>
          <w:rFonts w:hint="eastAsia"/>
        </w:rPr>
        <w:t>1.0.3　锻锤基础设计除应符合本标准规定外，尚应符合国家现行有关标准和现行中国工程建设标准化协会有关的规定。</w:t>
      </w:r>
    </w:p>
    <w:p w14:paraId="71181DC4">
      <w:pPr>
        <w:spacing w:before="156"/>
        <w:ind w:firstLine="480"/>
      </w:pPr>
    </w:p>
    <w:p w14:paraId="35290EEE">
      <w:pPr>
        <w:spacing w:before="156"/>
        <w:ind w:firstLine="480"/>
      </w:pPr>
    </w:p>
    <w:p w14:paraId="1A63AA68">
      <w:pPr>
        <w:spacing w:before="156"/>
        <w:ind w:firstLine="480"/>
      </w:pPr>
    </w:p>
    <w:p w14:paraId="1A572095">
      <w:pPr>
        <w:spacing w:before="156"/>
        <w:ind w:firstLine="480"/>
      </w:pPr>
    </w:p>
    <w:p w14:paraId="7096004A">
      <w:pPr>
        <w:spacing w:before="156"/>
        <w:ind w:firstLine="480"/>
      </w:pPr>
    </w:p>
    <w:p w14:paraId="6344219C">
      <w:pPr>
        <w:spacing w:before="156"/>
        <w:ind w:firstLine="480"/>
      </w:pPr>
    </w:p>
    <w:p w14:paraId="44268F46">
      <w:pPr>
        <w:spacing w:before="156"/>
        <w:ind w:firstLine="480"/>
      </w:pPr>
    </w:p>
    <w:p w14:paraId="37E3E9D3">
      <w:pPr>
        <w:spacing w:before="156"/>
        <w:ind w:firstLine="480"/>
      </w:pPr>
    </w:p>
    <w:p w14:paraId="50EFF6CA">
      <w:pPr>
        <w:spacing w:before="156"/>
        <w:ind w:firstLine="480"/>
      </w:pPr>
    </w:p>
    <w:p w14:paraId="09FEEC2D">
      <w:pPr>
        <w:spacing w:before="156"/>
        <w:ind w:firstLine="480"/>
      </w:pPr>
    </w:p>
    <w:p w14:paraId="740D5E07">
      <w:pPr>
        <w:spacing w:before="156"/>
        <w:ind w:firstLine="480"/>
      </w:pPr>
    </w:p>
    <w:p w14:paraId="3C7230E2">
      <w:pPr>
        <w:pStyle w:val="3"/>
      </w:pPr>
      <w:r>
        <w:rPr>
          <w:rFonts w:hint="eastAsia"/>
        </w:rPr>
        <w:t>2术语和符号</w:t>
      </w:r>
    </w:p>
    <w:p w14:paraId="27B08E8A">
      <w:pPr>
        <w:pStyle w:val="4"/>
        <w:spacing w:before="156"/>
      </w:pPr>
      <w:r>
        <w:rPr>
          <w:rFonts w:hint="eastAsia"/>
        </w:rPr>
        <w:t>2</w:t>
      </w:r>
      <w:r>
        <w:t xml:space="preserve">.1 </w:t>
      </w:r>
      <w:r>
        <w:rPr>
          <w:rFonts w:hint="eastAsia"/>
        </w:rPr>
        <w:t>术语</w:t>
      </w:r>
    </w:p>
    <w:p w14:paraId="7599B20F">
      <w:pPr>
        <w:pStyle w:val="14"/>
        <w:spacing w:before="156"/>
        <w:ind w:firstLine="480"/>
      </w:pPr>
      <w:r>
        <w:t>2.1.</w:t>
      </w:r>
      <w:bookmarkStart w:id="3" w:name="_Hlk108208096"/>
      <w:r>
        <w:rPr>
          <w:rFonts w:hint="eastAsia"/>
        </w:rPr>
        <w:t>1</w:t>
      </w:r>
      <w:bookmarkEnd w:id="3"/>
      <w:r>
        <w:rPr>
          <w:rFonts w:hint="eastAsia"/>
        </w:rPr>
        <w:t xml:space="preserve"> </w:t>
      </w:r>
      <w:r>
        <w:t>基组</w:t>
      </w:r>
      <w:r>
        <w:rPr>
          <w:rFonts w:hint="eastAsia"/>
        </w:rPr>
        <w:t xml:space="preserve"> m</w:t>
      </w:r>
      <w:r>
        <w:t>achine-foundation system</w:t>
      </w:r>
    </w:p>
    <w:p w14:paraId="2450D679">
      <w:pPr>
        <w:pStyle w:val="14"/>
        <w:spacing w:before="156"/>
        <w:ind w:firstLine="480"/>
      </w:pPr>
      <w:r>
        <w:rPr>
          <w:rFonts w:hint="eastAsia"/>
        </w:rPr>
        <w:t>锻锤</w:t>
      </w:r>
      <w:r>
        <w:t>基础和基础上的机器、附属设备、填土的总称。</w:t>
      </w:r>
    </w:p>
    <w:p w14:paraId="4C409E86">
      <w:pPr>
        <w:pStyle w:val="14"/>
        <w:spacing w:before="156"/>
        <w:ind w:firstLine="480"/>
      </w:pPr>
      <w:r>
        <w:t>2.1.</w:t>
      </w:r>
      <w:r>
        <w:rPr>
          <w:rFonts w:hint="eastAsia"/>
        </w:rPr>
        <w:t>2 锻锤 f</w:t>
      </w:r>
      <w:r>
        <w:t xml:space="preserve">orging hammer </w:t>
      </w:r>
    </w:p>
    <w:p w14:paraId="660E47DB">
      <w:pPr>
        <w:pStyle w:val="14"/>
        <w:spacing w:before="156"/>
        <w:ind w:firstLine="480"/>
        <w:rPr>
          <w:bCs/>
        </w:rPr>
      </w:pPr>
      <w:r>
        <w:rPr>
          <w:rFonts w:hint="eastAsia"/>
          <w:bCs/>
        </w:rPr>
        <w:t>利用工作部分所积蓄的动能在下或上行程时对锻件进行打击使锻件获得塑性变形的锻压机器总称。</w:t>
      </w:r>
    </w:p>
    <w:p w14:paraId="571CCC7F">
      <w:pPr>
        <w:pStyle w:val="14"/>
        <w:spacing w:before="156"/>
        <w:ind w:firstLine="480"/>
        <w:rPr>
          <w:rFonts w:cstheme="majorBidi"/>
          <w:bCs/>
          <w:szCs w:val="28"/>
        </w:rPr>
      </w:pPr>
      <w:r>
        <w:rPr>
          <w:rFonts w:hint="eastAsia" w:cstheme="majorBidi"/>
          <w:bCs/>
          <w:szCs w:val="28"/>
        </w:rPr>
        <w:t>2.1.3 落下部分质量 f</w:t>
      </w:r>
      <w:r>
        <w:t>alling mass</w:t>
      </w:r>
    </w:p>
    <w:p w14:paraId="5F6F2153">
      <w:pPr>
        <w:pStyle w:val="14"/>
        <w:spacing w:before="156"/>
        <w:ind w:firstLine="480"/>
        <w:rPr>
          <w:bCs/>
        </w:rPr>
      </w:pPr>
      <w:r>
        <w:rPr>
          <w:rFonts w:hint="eastAsia"/>
          <w:bCs/>
        </w:rPr>
        <w:t>锻锤在打击过程中，参与动能传递的运动部件的总质量，包括锤头、锤杆、活塞及其他与锤头刚性连接的组件，单位为千克（kg）或吨（t）。</w:t>
      </w:r>
    </w:p>
    <w:p w14:paraId="4CE779D8">
      <w:pPr>
        <w:pStyle w:val="14"/>
        <w:spacing w:before="156"/>
        <w:ind w:firstLine="480"/>
        <w:rPr>
          <w:rFonts w:cstheme="majorBidi"/>
          <w:bCs/>
          <w:szCs w:val="28"/>
        </w:rPr>
      </w:pPr>
      <w:r>
        <w:rPr>
          <w:rFonts w:hint="eastAsia" w:cstheme="majorBidi"/>
          <w:bCs/>
          <w:szCs w:val="28"/>
        </w:rPr>
        <w:t xml:space="preserve">2.1.4 空气锤 </w:t>
      </w:r>
      <w:r>
        <w:rPr>
          <w:rFonts w:hint="eastAsia"/>
        </w:rPr>
        <w:t>pneumatic hammer</w:t>
      </w:r>
    </w:p>
    <w:p w14:paraId="673A32C7">
      <w:pPr>
        <w:pStyle w:val="14"/>
        <w:spacing w:before="156"/>
        <w:ind w:firstLine="480"/>
        <w:rPr>
          <w:bCs/>
        </w:rPr>
      </w:pPr>
      <w:r>
        <w:rPr>
          <w:rFonts w:hint="eastAsia"/>
          <w:bCs/>
        </w:rPr>
        <w:t>电动机通过减速机构带动曲拐轴旋转，驱动压缩活塞作上下往复运动，使被压缩的空气经旋阀进入工作缸的上腔或下腔，驱动落下部分做向下运动进行打击或回程的锻锤。</w:t>
      </w:r>
    </w:p>
    <w:p w14:paraId="4A95B4F2">
      <w:pPr>
        <w:pStyle w:val="14"/>
        <w:spacing w:before="156"/>
        <w:ind w:firstLine="480"/>
        <w:rPr>
          <w:rFonts w:cstheme="majorBidi"/>
          <w:bCs/>
          <w:szCs w:val="28"/>
        </w:rPr>
      </w:pPr>
      <w:r>
        <w:rPr>
          <w:rFonts w:hint="eastAsia" w:cstheme="majorBidi"/>
          <w:bCs/>
          <w:szCs w:val="28"/>
        </w:rPr>
        <w:t>2.1.</w:t>
      </w:r>
      <w:r>
        <w:rPr>
          <w:rFonts w:cstheme="majorBidi"/>
          <w:bCs/>
          <w:szCs w:val="28"/>
        </w:rPr>
        <w:t>5</w:t>
      </w:r>
      <w:r>
        <w:rPr>
          <w:rFonts w:hint="eastAsia" w:cstheme="majorBidi"/>
          <w:bCs/>
          <w:szCs w:val="28"/>
        </w:rPr>
        <w:t xml:space="preserve"> 自由锻锤 </w:t>
      </w:r>
      <w:r>
        <w:rPr>
          <w:rFonts w:hint="eastAsia"/>
        </w:rPr>
        <w:t xml:space="preserve">free forging hammer </w:t>
      </w:r>
    </w:p>
    <w:p w14:paraId="6C4B7F21">
      <w:pPr>
        <w:pStyle w:val="14"/>
        <w:spacing w:before="156"/>
        <w:ind w:firstLine="480"/>
        <w:rPr>
          <w:rFonts w:cstheme="majorBidi"/>
          <w:bCs/>
          <w:szCs w:val="28"/>
        </w:rPr>
      </w:pPr>
      <w:r>
        <w:rPr>
          <w:rFonts w:hint="eastAsia" w:cstheme="majorBidi"/>
          <w:bCs/>
          <w:szCs w:val="28"/>
        </w:rPr>
        <w:t>利用气压或液压等传动机构驱动锤头上、下运动进行打击,并适应自由锻工艺需要的锻锤。</w:t>
      </w:r>
    </w:p>
    <w:p w14:paraId="2758FF50">
      <w:pPr>
        <w:pStyle w:val="14"/>
        <w:spacing w:before="156"/>
        <w:ind w:firstLine="480"/>
        <w:rPr>
          <w:rFonts w:cstheme="majorBidi"/>
          <w:bCs/>
          <w:szCs w:val="28"/>
        </w:rPr>
      </w:pPr>
      <w:r>
        <w:rPr>
          <w:rFonts w:hint="eastAsia" w:cstheme="majorBidi"/>
          <w:bCs/>
          <w:szCs w:val="28"/>
        </w:rPr>
        <w:t>2.1.</w:t>
      </w:r>
      <w:r>
        <w:rPr>
          <w:rFonts w:cstheme="majorBidi"/>
          <w:bCs/>
          <w:szCs w:val="28"/>
        </w:rPr>
        <w:t>6</w:t>
      </w:r>
      <w:r>
        <w:rPr>
          <w:rFonts w:hint="eastAsia" w:cstheme="majorBidi"/>
          <w:bCs/>
          <w:szCs w:val="28"/>
        </w:rPr>
        <w:t xml:space="preserve"> 模锻锤 die forging hammer </w:t>
      </w:r>
    </w:p>
    <w:p w14:paraId="1C477050">
      <w:pPr>
        <w:pStyle w:val="14"/>
        <w:spacing w:before="156"/>
        <w:ind w:firstLine="480"/>
        <w:rPr>
          <w:rFonts w:cstheme="majorBidi"/>
          <w:bCs/>
          <w:szCs w:val="28"/>
        </w:rPr>
      </w:pPr>
      <w:r>
        <w:rPr>
          <w:rFonts w:hint="eastAsia" w:cstheme="majorBidi"/>
          <w:bCs/>
          <w:szCs w:val="28"/>
        </w:rPr>
        <w:t>利用气压或液压等传动机构驱动锤头上、下运动进行打击,并适应模锻工艺过程需要的锻锤。</w:t>
      </w:r>
    </w:p>
    <w:p w14:paraId="7BAC7524">
      <w:pPr>
        <w:pStyle w:val="14"/>
        <w:spacing w:before="156"/>
        <w:ind w:firstLine="480"/>
        <w:rPr>
          <w:rFonts w:cstheme="majorBidi"/>
          <w:bCs/>
          <w:szCs w:val="28"/>
        </w:rPr>
      </w:pPr>
      <w:r>
        <w:rPr>
          <w:rFonts w:hint="eastAsia" w:cstheme="majorBidi"/>
          <w:bCs/>
          <w:szCs w:val="28"/>
        </w:rPr>
        <w:t>2.1.</w:t>
      </w:r>
      <w:r>
        <w:rPr>
          <w:rFonts w:cstheme="majorBidi"/>
          <w:bCs/>
          <w:szCs w:val="28"/>
        </w:rPr>
        <w:t>7</w:t>
      </w:r>
      <w:r>
        <w:rPr>
          <w:rFonts w:hint="eastAsia" w:cstheme="majorBidi"/>
          <w:bCs/>
          <w:szCs w:val="28"/>
        </w:rPr>
        <w:t xml:space="preserve"> 单作用锤 drop hammer </w:t>
      </w:r>
    </w:p>
    <w:p w14:paraId="2216DC3E">
      <w:pPr>
        <w:pStyle w:val="14"/>
        <w:spacing w:before="156"/>
        <w:ind w:firstLine="480"/>
        <w:rPr>
          <w:rFonts w:cstheme="majorBidi"/>
          <w:bCs/>
          <w:szCs w:val="28"/>
        </w:rPr>
      </w:pPr>
      <w:r>
        <w:rPr>
          <w:rFonts w:hint="eastAsia" w:cstheme="majorBidi"/>
          <w:bCs/>
          <w:szCs w:val="28"/>
        </w:rPr>
        <w:t>锤头只靠自重落下进行打击的锻锤。</w:t>
      </w:r>
    </w:p>
    <w:p w14:paraId="620BFB3B">
      <w:pPr>
        <w:pStyle w:val="14"/>
        <w:spacing w:before="156"/>
        <w:ind w:firstLine="480"/>
      </w:pPr>
      <w:r>
        <w:rPr>
          <w:rFonts w:hint="eastAsia" w:cstheme="majorBidi"/>
          <w:bCs/>
          <w:szCs w:val="28"/>
        </w:rPr>
        <w:t>2.1.</w:t>
      </w:r>
      <w:r>
        <w:rPr>
          <w:rFonts w:cstheme="majorBidi"/>
          <w:bCs/>
          <w:szCs w:val="28"/>
        </w:rPr>
        <w:t>8</w:t>
      </w:r>
      <w:r>
        <w:rPr>
          <w:rFonts w:hint="eastAsia"/>
        </w:rPr>
        <w:t xml:space="preserve"> 对击锤 counter-blow hammer </w:t>
      </w:r>
    </w:p>
    <w:p w14:paraId="00B1F5EE">
      <w:pPr>
        <w:spacing w:before="156"/>
        <w:ind w:firstLine="480"/>
      </w:pPr>
      <w:r>
        <w:rPr>
          <w:rFonts w:hint="eastAsia"/>
        </w:rPr>
        <w:t>用活动的下锤头代替砧座，当上锤头下降时，下锤头同时上升，产生对击使锻件变形，也称无砧座锤。</w:t>
      </w:r>
    </w:p>
    <w:p w14:paraId="463469BA">
      <w:pPr>
        <w:pStyle w:val="14"/>
        <w:spacing w:before="156"/>
        <w:ind w:firstLine="480"/>
        <w:rPr>
          <w:rFonts w:cstheme="majorBidi"/>
          <w:bCs/>
          <w:szCs w:val="28"/>
        </w:rPr>
      </w:pPr>
      <w:r>
        <w:rPr>
          <w:rFonts w:cstheme="majorBidi"/>
          <w:bCs/>
          <w:szCs w:val="28"/>
        </w:rPr>
        <w:t>2.1.9</w:t>
      </w:r>
      <w:r>
        <w:rPr>
          <w:rFonts w:hint="eastAsia" w:cstheme="majorBidi"/>
          <w:bCs/>
          <w:szCs w:val="28"/>
        </w:rPr>
        <w:t xml:space="preserve"> </w:t>
      </w:r>
      <w:r>
        <w:rPr>
          <w:rFonts w:cstheme="majorBidi"/>
          <w:bCs/>
          <w:szCs w:val="28"/>
        </w:rPr>
        <w:t>脉冲函数</w:t>
      </w:r>
      <w:r>
        <w:rPr>
          <w:rFonts w:hint="eastAsia" w:cstheme="majorBidi"/>
          <w:bCs/>
          <w:szCs w:val="28"/>
        </w:rPr>
        <w:t xml:space="preserve"> </w:t>
      </w:r>
      <w:r>
        <w:rPr>
          <w:rFonts w:cstheme="majorBidi"/>
          <w:bCs/>
          <w:szCs w:val="28"/>
        </w:rPr>
        <w:t xml:space="preserve">pulse function </w:t>
      </w:r>
    </w:p>
    <w:p w14:paraId="63C8DC3C">
      <w:pPr>
        <w:spacing w:before="156"/>
        <w:ind w:firstLine="480"/>
      </w:pPr>
      <w:r>
        <w:rPr>
          <w:rFonts w:hint="eastAsia"/>
        </w:rPr>
        <w:t>以时间为自变量的振动作用分布函数，用来判断振动作用状态。</w:t>
      </w:r>
    </w:p>
    <w:p w14:paraId="2BB5E308">
      <w:pPr>
        <w:pStyle w:val="14"/>
        <w:spacing w:before="156"/>
        <w:ind w:firstLine="480"/>
        <w:rPr>
          <w:rFonts w:cstheme="majorBidi"/>
          <w:bCs/>
          <w:szCs w:val="28"/>
        </w:rPr>
      </w:pPr>
      <w:r>
        <w:rPr>
          <w:rFonts w:cstheme="majorBidi"/>
          <w:bCs/>
          <w:szCs w:val="28"/>
        </w:rPr>
        <w:t>2.1.10</w:t>
      </w:r>
      <w:r>
        <w:rPr>
          <w:rFonts w:hint="eastAsia" w:cstheme="majorBidi"/>
          <w:bCs/>
          <w:szCs w:val="28"/>
        </w:rPr>
        <w:t xml:space="preserve"> </w:t>
      </w:r>
      <w:r>
        <w:rPr>
          <w:rFonts w:cstheme="majorBidi"/>
          <w:bCs/>
          <w:szCs w:val="28"/>
        </w:rPr>
        <w:t>后峰齿形脉冲</w:t>
      </w:r>
      <w:r>
        <w:rPr>
          <w:rFonts w:hint="eastAsia" w:cstheme="majorBidi"/>
          <w:bCs/>
          <w:szCs w:val="28"/>
        </w:rPr>
        <w:t xml:space="preserve"> </w:t>
      </w:r>
      <w:r>
        <w:rPr>
          <w:rFonts w:cstheme="majorBidi"/>
          <w:bCs/>
          <w:szCs w:val="28"/>
        </w:rPr>
        <w:t xml:space="preserve">final peak saw tooth shock pulse </w:t>
      </w:r>
    </w:p>
    <w:p w14:paraId="7BD37FB2">
      <w:pPr>
        <w:spacing w:before="156"/>
        <w:ind w:firstLine="480"/>
      </w:pPr>
      <w:r>
        <w:t>时间历程曲线为三角形的，即运动量由零线性地增加到最大值然后在一瞬间降落到零的理想冲击脉冲。</w:t>
      </w:r>
    </w:p>
    <w:p w14:paraId="7BD6CF0A">
      <w:pPr>
        <w:pStyle w:val="14"/>
        <w:spacing w:before="156"/>
        <w:ind w:firstLine="480"/>
        <w:rPr>
          <w:rFonts w:cstheme="majorBidi"/>
          <w:bCs/>
          <w:szCs w:val="28"/>
        </w:rPr>
      </w:pPr>
      <w:r>
        <w:rPr>
          <w:rFonts w:cstheme="majorBidi"/>
          <w:bCs/>
          <w:szCs w:val="28"/>
        </w:rPr>
        <w:t>2.1.11</w:t>
      </w:r>
      <w:r>
        <w:rPr>
          <w:rFonts w:hint="eastAsia" w:cstheme="majorBidi"/>
          <w:bCs/>
          <w:szCs w:val="28"/>
        </w:rPr>
        <w:t xml:space="preserve"> </w:t>
      </w:r>
      <w:r>
        <w:rPr>
          <w:rFonts w:cstheme="majorBidi"/>
          <w:bCs/>
          <w:szCs w:val="28"/>
        </w:rPr>
        <w:t>对称三角形脉冲</w:t>
      </w:r>
      <w:r>
        <w:rPr>
          <w:rFonts w:hint="eastAsia" w:cstheme="majorBidi"/>
          <w:bCs/>
          <w:szCs w:val="28"/>
        </w:rPr>
        <w:t xml:space="preserve"> </w:t>
      </w:r>
      <w:r>
        <w:rPr>
          <w:rFonts w:cstheme="majorBidi"/>
          <w:bCs/>
          <w:szCs w:val="28"/>
        </w:rPr>
        <w:t xml:space="preserve">symmetrical triangular shock pulse </w:t>
      </w:r>
    </w:p>
    <w:p w14:paraId="7AD1AABD">
      <w:pPr>
        <w:spacing w:before="156"/>
        <w:ind w:firstLine="480"/>
      </w:pPr>
      <w:r>
        <w:t>时间历程曲线为等腰三角形的理想冲击脉冲。</w:t>
      </w:r>
    </w:p>
    <w:p w14:paraId="58901B74">
      <w:pPr>
        <w:pStyle w:val="14"/>
        <w:spacing w:before="156"/>
        <w:ind w:firstLine="480"/>
        <w:rPr>
          <w:rFonts w:cstheme="majorBidi"/>
          <w:bCs/>
          <w:szCs w:val="28"/>
        </w:rPr>
      </w:pPr>
      <w:r>
        <w:rPr>
          <w:rFonts w:cstheme="majorBidi"/>
          <w:bCs/>
          <w:szCs w:val="28"/>
        </w:rPr>
        <w:t>2.1.12</w:t>
      </w:r>
      <w:r>
        <w:rPr>
          <w:rFonts w:hint="eastAsia" w:cstheme="majorBidi"/>
          <w:bCs/>
          <w:szCs w:val="28"/>
        </w:rPr>
        <w:t xml:space="preserve"> </w:t>
      </w:r>
      <w:r>
        <w:rPr>
          <w:rFonts w:cstheme="majorBidi"/>
          <w:bCs/>
          <w:szCs w:val="28"/>
        </w:rPr>
        <w:t>矩形脉冲</w:t>
      </w:r>
      <w:r>
        <w:rPr>
          <w:rFonts w:hint="eastAsia" w:cstheme="majorBidi"/>
          <w:bCs/>
          <w:szCs w:val="28"/>
        </w:rPr>
        <w:t xml:space="preserve"> </w:t>
      </w:r>
      <w:r>
        <w:rPr>
          <w:rFonts w:cstheme="majorBidi"/>
          <w:bCs/>
          <w:szCs w:val="28"/>
        </w:rPr>
        <w:t xml:space="preserve">rectangular pulse </w:t>
      </w:r>
    </w:p>
    <w:p w14:paraId="2B7A28A7">
      <w:pPr>
        <w:spacing w:before="156"/>
        <w:ind w:firstLine="480"/>
      </w:pPr>
      <w:r>
        <w:t>时间历程曲线上部为矩形的理想冲击脉冲。</w:t>
      </w:r>
    </w:p>
    <w:p w14:paraId="08765DA5">
      <w:pPr>
        <w:pStyle w:val="14"/>
        <w:spacing w:before="156"/>
        <w:ind w:firstLine="480"/>
        <w:rPr>
          <w:rFonts w:cstheme="majorBidi"/>
          <w:bCs/>
          <w:szCs w:val="28"/>
        </w:rPr>
      </w:pPr>
      <w:r>
        <w:rPr>
          <w:rFonts w:cstheme="majorBidi"/>
          <w:bCs/>
          <w:szCs w:val="28"/>
        </w:rPr>
        <w:t>2.1.13</w:t>
      </w:r>
      <w:r>
        <w:rPr>
          <w:rFonts w:hint="eastAsia" w:cstheme="majorBidi"/>
          <w:bCs/>
          <w:szCs w:val="28"/>
        </w:rPr>
        <w:t xml:space="preserve"> </w:t>
      </w:r>
      <w:r>
        <w:rPr>
          <w:rFonts w:cstheme="majorBidi"/>
          <w:bCs/>
          <w:szCs w:val="28"/>
        </w:rPr>
        <w:t>正弦半波脉冲</w:t>
      </w:r>
      <w:r>
        <w:rPr>
          <w:rFonts w:hint="eastAsia" w:cstheme="majorBidi"/>
          <w:bCs/>
          <w:szCs w:val="28"/>
        </w:rPr>
        <w:t xml:space="preserve"> </w:t>
      </w:r>
      <w:r>
        <w:rPr>
          <w:rFonts w:cstheme="majorBidi"/>
          <w:bCs/>
          <w:szCs w:val="28"/>
        </w:rPr>
        <w:t xml:space="preserve">sine half wave shock pulse </w:t>
      </w:r>
    </w:p>
    <w:p w14:paraId="3FF347A7">
      <w:pPr>
        <w:spacing w:before="156"/>
        <w:ind w:firstLine="480"/>
      </w:pPr>
      <w:r>
        <w:t>时间历程曲线为正弦半波形状的理想冲击脉冲。</w:t>
      </w:r>
    </w:p>
    <w:p w14:paraId="73109ACC">
      <w:pPr>
        <w:pStyle w:val="14"/>
        <w:spacing w:before="156"/>
        <w:ind w:firstLine="480"/>
        <w:rPr>
          <w:rFonts w:cstheme="majorBidi"/>
          <w:bCs/>
          <w:szCs w:val="28"/>
        </w:rPr>
      </w:pPr>
      <w:r>
        <w:rPr>
          <w:rFonts w:cstheme="majorBidi"/>
          <w:bCs/>
          <w:szCs w:val="28"/>
        </w:rPr>
        <w:t>2.1.14</w:t>
      </w:r>
      <w:r>
        <w:rPr>
          <w:rFonts w:hint="eastAsia" w:cstheme="majorBidi"/>
          <w:bCs/>
          <w:szCs w:val="28"/>
        </w:rPr>
        <w:t xml:space="preserve"> </w:t>
      </w:r>
      <w:r>
        <w:rPr>
          <w:rFonts w:cstheme="majorBidi"/>
          <w:bCs/>
          <w:szCs w:val="28"/>
        </w:rPr>
        <w:t>正矢脉冲</w:t>
      </w:r>
      <w:r>
        <w:rPr>
          <w:rFonts w:hint="eastAsia" w:cstheme="majorBidi"/>
          <w:bCs/>
          <w:szCs w:val="28"/>
        </w:rPr>
        <w:t xml:space="preserve"> </w:t>
      </w:r>
      <w:r>
        <w:rPr>
          <w:rFonts w:cstheme="majorBidi"/>
          <w:bCs/>
          <w:szCs w:val="28"/>
        </w:rPr>
        <w:t xml:space="preserve">versine shock pulse </w:t>
      </w:r>
    </w:p>
    <w:p w14:paraId="5F0F68BD">
      <w:pPr>
        <w:spacing w:before="156"/>
        <w:ind w:firstLine="480"/>
      </w:pPr>
      <w:r>
        <w:t>时间历程曲线为自零开始的正矢（正弦平方）曲线的理想冲击脉冲。</w:t>
      </w:r>
    </w:p>
    <w:p w14:paraId="6D31F266">
      <w:pPr>
        <w:pStyle w:val="14"/>
        <w:spacing w:before="156"/>
        <w:ind w:firstLine="480"/>
        <w:rPr>
          <w:rFonts w:cstheme="majorBidi"/>
          <w:bCs/>
          <w:szCs w:val="28"/>
        </w:rPr>
      </w:pPr>
      <w:r>
        <w:rPr>
          <w:rFonts w:cstheme="majorBidi"/>
          <w:bCs/>
          <w:szCs w:val="28"/>
        </w:rPr>
        <w:t>2.1.15</w:t>
      </w:r>
      <w:r>
        <w:rPr>
          <w:rFonts w:hint="eastAsia" w:cstheme="majorBidi"/>
          <w:bCs/>
          <w:szCs w:val="28"/>
        </w:rPr>
        <w:t xml:space="preserve"> 打击能量 </w:t>
      </w:r>
      <w:r>
        <w:rPr>
          <w:rFonts w:cstheme="majorBidi"/>
          <w:bCs/>
          <w:szCs w:val="28"/>
        </w:rPr>
        <w:t>blow energy</w:t>
      </w:r>
    </w:p>
    <w:p w14:paraId="302D27CB">
      <w:pPr>
        <w:spacing w:before="156"/>
        <w:ind w:firstLine="480"/>
      </w:pPr>
      <w:r>
        <w:rPr>
          <w:rFonts w:hint="eastAsia"/>
        </w:rPr>
        <w:t>当锤头进行打击时，落下部分所具有的动能。</w:t>
      </w:r>
    </w:p>
    <w:p w14:paraId="505B06EC">
      <w:pPr>
        <w:spacing w:before="156"/>
        <w:ind w:firstLine="480"/>
      </w:pPr>
      <w:r>
        <w:rPr>
          <w:rFonts w:hint="eastAsia"/>
        </w:rPr>
        <w:t xml:space="preserve">2.1.6 刚性基础 </w:t>
      </w:r>
      <w:r>
        <w:t>rigid foundation</w:t>
      </w:r>
    </w:p>
    <w:p w14:paraId="5FF729CB">
      <w:pPr>
        <w:spacing w:before="156"/>
        <w:ind w:firstLine="480"/>
      </w:pPr>
      <w:r>
        <w:rPr>
          <w:rFonts w:hint="eastAsia"/>
        </w:rPr>
        <w:t>刚性基础是一种直接与锻锤设备刚性连接的基础结构，依靠自身的质量、刚度和埋深来吸收和分散锻锤工作时产生的巨大冲击力，同时将振动通过地基传递到周围土体。其设计目标是满足承载力、沉降和振动幅值的规范限值。</w:t>
      </w:r>
    </w:p>
    <w:p w14:paraId="5271B0A5">
      <w:pPr>
        <w:pStyle w:val="4"/>
        <w:spacing w:before="156"/>
      </w:pPr>
      <w:bookmarkStart w:id="4" w:name="_Toc206578562"/>
      <w:r>
        <w:rPr>
          <w:rFonts w:hint="eastAsia"/>
        </w:rPr>
        <w:t>2</w:t>
      </w:r>
      <w:r>
        <w:t xml:space="preserve">.2 </w:t>
      </w:r>
      <w:r>
        <w:rPr>
          <w:rFonts w:hint="eastAsia"/>
        </w:rPr>
        <w:t>符号</w:t>
      </w:r>
      <w:bookmarkEnd w:id="4"/>
    </w:p>
    <w:p w14:paraId="6E929E87">
      <w:pPr>
        <w:pStyle w:val="5"/>
        <w:spacing w:before="156"/>
        <w:ind w:firstLine="240"/>
      </w:pPr>
      <w:r>
        <w:t>2.2.1</w:t>
      </w:r>
      <w:r>
        <w:rPr>
          <w:rFonts w:hint="eastAsia"/>
        </w:rPr>
        <w:t>　　</w:t>
      </w:r>
      <w:r>
        <w:t>作用和响应</w:t>
      </w:r>
    </w:p>
    <w:p w14:paraId="09D8932A">
      <w:pPr>
        <w:spacing w:before="156"/>
        <w:ind w:firstLine="480"/>
        <w:rPr>
          <w:rFonts w:cs="Times New Roman"/>
          <w:szCs w:val="24"/>
        </w:rPr>
      </w:pPr>
      <m:oMath>
        <m:sSub>
          <m:sSubPr>
            <m:ctrlPr>
              <w:rPr>
                <w:rFonts w:ascii="Cambria Math" w:hAnsi="Cambria Math" w:cs="Times New Roman"/>
                <w:szCs w:val="24"/>
              </w:rPr>
            </m:ctrlPr>
          </m:sSubPr>
          <m:e>
            <m:r>
              <m:rPr/>
              <w:rPr>
                <w:rFonts w:ascii="Cambria Math" w:hAnsi="Cambria Math" w:cs="Times New Roman"/>
                <w:szCs w:val="24"/>
              </w:rPr>
              <m:t>P</m:t>
            </m:r>
            <m:ctrlPr>
              <w:rPr>
                <w:rFonts w:ascii="Cambria Math" w:hAnsi="Cambria Math" w:cs="Times New Roman"/>
                <w:szCs w:val="24"/>
              </w:rPr>
            </m:ctrlPr>
          </m:e>
          <m:sub>
            <m:r>
              <m:rPr/>
              <w:rPr>
                <w:rFonts w:ascii="Cambria Math" w:hAnsi="Cambria Math" w:cs="Times New Roman"/>
                <w:szCs w:val="24"/>
              </w:rPr>
              <m:t>0</m:t>
            </m:r>
            <m:ctrlPr>
              <w:rPr>
                <w:rFonts w:ascii="Cambria Math" w:hAnsi="Cambria Math" w:cs="Times New Roman"/>
                <w:szCs w:val="24"/>
              </w:rPr>
            </m:ctrlPr>
          </m:sub>
        </m:sSub>
      </m:oMath>
      <w:r>
        <w:rPr>
          <w:rFonts w:cs="Times New Roman"/>
          <w:szCs w:val="24"/>
        </w:rPr>
        <w:t>——模型基础底面静压力；</w:t>
      </w:r>
    </w:p>
    <w:p w14:paraId="549257F2">
      <w:pPr>
        <w:spacing w:before="156"/>
        <w:ind w:firstLine="480"/>
        <w:textAlignment w:val="center"/>
        <w:rPr>
          <w:rFonts w:cs="Times New Roman"/>
          <w:szCs w:val="24"/>
        </w:rPr>
      </w:pPr>
      <m:oMath>
        <m:sSub>
          <m:sSubPr>
            <m:ctrlPr>
              <w:rPr>
                <w:rFonts w:ascii="Cambria Math" w:hAnsi="Cambria Math" w:cs="Times New Roman"/>
                <w:szCs w:val="24"/>
              </w:rPr>
            </m:ctrlPr>
          </m:sSubPr>
          <m:e>
            <m:r>
              <m:rPr/>
              <w:rPr>
                <w:rFonts w:ascii="Cambria Math" w:hAnsi="Cambria Math" w:cs="Times New Roman"/>
                <w:szCs w:val="24"/>
              </w:rPr>
              <m:t>P</m:t>
            </m:r>
            <m:ctrlPr>
              <w:rPr>
                <w:rFonts w:ascii="Cambria Math" w:hAnsi="Cambria Math" w:cs="Times New Roman"/>
                <w:szCs w:val="24"/>
              </w:rPr>
            </m:ctrlPr>
          </m:e>
          <m:sub>
            <m:r>
              <m:rPr/>
              <w:rPr>
                <w:rFonts w:ascii="Cambria Math" w:hAnsi="Cambria Math" w:cs="Times New Roman"/>
                <w:szCs w:val="24"/>
              </w:rPr>
              <m:t>d</m:t>
            </m:r>
            <m:ctrlPr>
              <w:rPr>
                <w:rFonts w:ascii="Cambria Math" w:hAnsi="Cambria Math" w:cs="Times New Roman"/>
                <w:szCs w:val="24"/>
              </w:rPr>
            </m:ctrlPr>
          </m:sub>
        </m:sSub>
      </m:oMath>
      <w:r>
        <w:rPr>
          <w:rFonts w:cs="Times New Roman"/>
          <w:szCs w:val="24"/>
        </w:rPr>
        <w:t>——设计基础底面静压力；</w:t>
      </w:r>
    </w:p>
    <w:p w14:paraId="0D44C6C5">
      <w:pPr>
        <w:spacing w:before="156"/>
        <w:ind w:firstLine="480"/>
        <w:jc w:val="left"/>
        <w:rPr>
          <w:rFonts w:cs="Times New Roman"/>
          <w:szCs w:val="24"/>
        </w:rPr>
      </w:pPr>
      <m:oMath>
        <m:sSub>
          <m:sSubPr>
            <m:ctrlPr>
              <w:rPr>
                <w:rFonts w:ascii="Cambria Math" w:hAnsi="Cambria Math" w:cs="Times New Roman"/>
                <w:szCs w:val="24"/>
              </w:rPr>
            </m:ctrlPr>
          </m:sSubPr>
          <m:e>
            <m:r>
              <m:rPr/>
              <w:rPr>
                <w:rFonts w:ascii="Cambria Math" w:hAnsi="Cambria Math" w:cs="Times New Roman"/>
                <w:szCs w:val="24"/>
              </w:rPr>
              <m:t>F</m:t>
            </m:r>
            <m:ctrlPr>
              <w:rPr>
                <w:rFonts w:ascii="Cambria Math" w:hAnsi="Cambria Math" w:cs="Times New Roman"/>
                <w:szCs w:val="24"/>
              </w:rPr>
            </m:ctrlPr>
          </m:e>
          <m:sub>
            <m:r>
              <m:rPr/>
              <w:rPr>
                <w:rFonts w:hint="eastAsia" w:ascii="Cambria Math" w:hAnsi="Cambria Math" w:cs="Times New Roman"/>
                <w:szCs w:val="24"/>
              </w:rPr>
              <m:t>p</m:t>
            </m:r>
            <m:ctrlPr>
              <w:rPr>
                <w:rFonts w:ascii="Cambria Math" w:hAnsi="Cambria Math" w:cs="Times New Roman"/>
                <w:szCs w:val="24"/>
              </w:rPr>
            </m:ctrlPr>
          </m:sub>
        </m:sSub>
      </m:oMath>
      <w:r>
        <w:rPr>
          <w:rFonts w:cs="Times New Roman"/>
          <w:szCs w:val="24"/>
        </w:rPr>
        <w:t>——</w:t>
      </w:r>
      <w:r>
        <w:rPr>
          <w:rFonts w:hint="eastAsia" w:cs="Times New Roman"/>
          <w:szCs w:val="24"/>
        </w:rPr>
        <w:t>打击力峰值；</w:t>
      </w:r>
    </w:p>
    <w:p w14:paraId="0E81B47F">
      <w:pPr>
        <w:spacing w:before="156"/>
        <w:ind w:firstLine="480"/>
        <w:jc w:val="left"/>
        <w:rPr>
          <w:rFonts w:cs="Times New Roman"/>
          <w:szCs w:val="24"/>
        </w:rPr>
      </w:pPr>
      <m:oMath>
        <m:sSub>
          <m:sSubPr>
            <m:ctrlPr>
              <w:rPr>
                <w:rFonts w:ascii="Cambria Math" w:hAnsi="Cambria Math" w:cs="Times New Roman"/>
                <w:szCs w:val="24"/>
              </w:rPr>
            </m:ctrlPr>
          </m:sSubPr>
          <m:e>
            <m:r>
              <m:rPr/>
              <w:rPr>
                <w:rFonts w:ascii="Cambria Math" w:hAnsi="Cambria Math" w:cs="Times New Roman"/>
                <w:szCs w:val="24"/>
              </w:rPr>
              <m:t>t</m:t>
            </m:r>
            <m:ctrlPr>
              <w:rPr>
                <w:rFonts w:ascii="Cambria Math" w:hAnsi="Cambria Math" w:cs="Times New Roman"/>
                <w:szCs w:val="24"/>
              </w:rPr>
            </m:ctrlPr>
          </m:e>
          <m:sub>
            <m:r>
              <m:rPr/>
              <w:rPr>
                <w:rFonts w:ascii="Cambria Math" w:hAnsi="Cambria Math" w:cs="Times New Roman"/>
                <w:szCs w:val="24"/>
              </w:rPr>
              <m:t>0</m:t>
            </m:r>
            <m:ctrlPr>
              <w:rPr>
                <w:rFonts w:ascii="Cambria Math" w:hAnsi="Cambria Math" w:cs="Times New Roman"/>
                <w:szCs w:val="24"/>
              </w:rPr>
            </m:ctrlPr>
          </m:sub>
        </m:sSub>
      </m:oMath>
      <w:r>
        <w:rPr>
          <w:rFonts w:cs="Times New Roman"/>
          <w:szCs w:val="24"/>
        </w:rPr>
        <w:t>——</w:t>
      </w:r>
      <w:r>
        <w:rPr>
          <w:rFonts w:hint="eastAsia" w:cs="Times New Roman"/>
          <w:szCs w:val="24"/>
        </w:rPr>
        <w:t>打击作用时间；</w:t>
      </w:r>
    </w:p>
    <w:p w14:paraId="228A1D9A">
      <w:pPr>
        <w:spacing w:before="156"/>
        <w:ind w:firstLine="480"/>
        <w:jc w:val="left"/>
        <w:rPr>
          <w:rFonts w:cs="Times New Roman"/>
          <w:szCs w:val="24"/>
        </w:rPr>
      </w:pPr>
      <m:oMath>
        <m:sSub>
          <m:sSubPr>
            <m:ctrlPr>
              <w:rPr>
                <w:rFonts w:ascii="Cambria Math" w:hAnsi="Cambria Math" w:cs="Times New Roman"/>
                <w:szCs w:val="24"/>
              </w:rPr>
            </m:ctrlPr>
          </m:sSubPr>
          <m:e>
            <m:r>
              <m:rPr/>
              <w:rPr>
                <w:rFonts w:hint="eastAsia" w:ascii="Cambria Math" w:hAnsi="Cambria Math" w:cs="Times New Roman"/>
                <w:szCs w:val="24"/>
              </w:rPr>
              <m:t>E</m:t>
            </m:r>
            <m:ctrlPr>
              <w:rPr>
                <w:rFonts w:ascii="Cambria Math" w:hAnsi="Cambria Math" w:cs="Times New Roman"/>
                <w:szCs w:val="24"/>
              </w:rPr>
            </m:ctrlPr>
          </m:e>
          <m:sub>
            <m:r>
              <m:rPr/>
              <w:rPr>
                <w:rFonts w:ascii="Cambria Math" w:hAnsi="Cambria Math" w:cs="Times New Roman"/>
                <w:szCs w:val="24"/>
              </w:rPr>
              <m:t>0</m:t>
            </m:r>
            <m:ctrlPr>
              <w:rPr>
                <w:rFonts w:ascii="Cambria Math" w:hAnsi="Cambria Math" w:cs="Times New Roman"/>
                <w:szCs w:val="24"/>
              </w:rPr>
            </m:ctrlPr>
          </m:sub>
        </m:sSub>
      </m:oMath>
      <w:r>
        <w:rPr>
          <w:rFonts w:cs="Times New Roman"/>
          <w:szCs w:val="24"/>
        </w:rPr>
        <w:t>——</w:t>
      </w:r>
      <w:r>
        <w:rPr>
          <w:rFonts w:hint="eastAsia" w:cs="Times New Roman"/>
          <w:szCs w:val="24"/>
        </w:rPr>
        <w:t>打击能量；</w:t>
      </w:r>
    </w:p>
    <w:p w14:paraId="279E72F7">
      <w:pPr>
        <w:spacing w:before="156"/>
        <w:ind w:firstLine="480"/>
        <w:jc w:val="left"/>
        <w:rPr>
          <w:rFonts w:cs="Times New Roman"/>
          <w:szCs w:val="24"/>
        </w:rPr>
      </w:pPr>
      <m:oMath>
        <m:sSub>
          <m:sSubPr>
            <m:ctrlPr>
              <w:rPr>
                <w:rFonts w:ascii="Cambria Math" w:hAnsi="Cambria Math" w:cs="Times New Roman"/>
                <w:szCs w:val="24"/>
              </w:rPr>
            </m:ctrlPr>
          </m:sSubPr>
          <m:e>
            <m:r>
              <m:rPr/>
              <w:rPr>
                <w:rFonts w:ascii="Cambria Math" w:hAnsi="Cambria Math" w:cs="Times New Roman"/>
                <w:szCs w:val="24"/>
              </w:rPr>
              <m:t>ω</m:t>
            </m:r>
            <m:ctrlPr>
              <w:rPr>
                <w:rFonts w:ascii="Cambria Math" w:hAnsi="Cambria Math" w:cs="Times New Roman"/>
                <w:szCs w:val="24"/>
              </w:rPr>
            </m:ctrlPr>
          </m:e>
          <m:sub>
            <m:r>
              <m:rPr/>
              <w:rPr>
                <w:rFonts w:ascii="Cambria Math" w:hAnsi="Cambria Math" w:cs="Times New Roman"/>
                <w:szCs w:val="24"/>
              </w:rPr>
              <m:t>nz</m:t>
            </m:r>
            <m:ctrlPr>
              <w:rPr>
                <w:rFonts w:ascii="Cambria Math" w:hAnsi="Cambria Math" w:cs="Times New Roman"/>
                <w:szCs w:val="24"/>
              </w:rPr>
            </m:ctrlPr>
          </m:sub>
        </m:sSub>
      </m:oMath>
      <w:r>
        <w:rPr>
          <w:rFonts w:cs="Times New Roman"/>
          <w:szCs w:val="24"/>
        </w:rPr>
        <w:t>——基组的固有圆频率；</w:t>
      </w:r>
    </w:p>
    <w:p w14:paraId="04AD354A">
      <w:pPr>
        <w:autoSpaceDE w:val="0"/>
        <w:autoSpaceDN w:val="0"/>
        <w:adjustRightInd w:val="0"/>
        <w:spacing w:before="156"/>
        <w:ind w:firstLine="480"/>
        <w:rPr>
          <w:rFonts w:cs="Times New Roman"/>
          <w:kern w:val="0"/>
          <w:szCs w:val="24"/>
        </w:rPr>
      </w:pPr>
      <m:oMath>
        <m:sSub>
          <m:sSubPr>
            <m:ctrlPr>
              <w:rPr>
                <w:rFonts w:ascii="Cambria Math" w:hAnsi="Cambria Math" w:cs="Times New Roman"/>
                <w:kern w:val="0"/>
                <w:szCs w:val="24"/>
              </w:rPr>
            </m:ctrlPr>
          </m:sSubPr>
          <m:e>
            <m:r>
              <m:rPr/>
              <w:rPr>
                <w:rFonts w:ascii="Cambria Math" w:hAnsi="Cambria Math" w:cs="Times New Roman"/>
                <w:kern w:val="0"/>
                <w:szCs w:val="24"/>
              </w:rPr>
              <m:t>u</m:t>
            </m:r>
            <m:ctrlPr>
              <w:rPr>
                <w:rFonts w:ascii="Cambria Math" w:hAnsi="Cambria Math" w:cs="Times New Roman"/>
                <w:kern w:val="0"/>
                <w:szCs w:val="24"/>
              </w:rPr>
            </m:ctrlPr>
          </m:e>
          <m:sub>
            <m:r>
              <m:rPr/>
              <w:rPr>
                <w:rFonts w:ascii="Cambria Math" w:hAnsi="Cambria Math" w:cs="Times New Roman"/>
                <w:kern w:val="0"/>
                <w:szCs w:val="24"/>
              </w:rPr>
              <m:t>z</m:t>
            </m:r>
            <m:ctrlPr>
              <w:rPr>
                <w:rFonts w:ascii="Cambria Math" w:hAnsi="Cambria Math" w:cs="Times New Roman"/>
                <w:kern w:val="0"/>
                <w:szCs w:val="24"/>
              </w:rPr>
            </m:ctrlPr>
          </m:sub>
        </m:sSub>
      </m:oMath>
      <w:r>
        <w:rPr>
          <w:rFonts w:cs="Times New Roman"/>
          <w:szCs w:val="24"/>
        </w:rPr>
        <w:t>——基础竖向振动位移；</w:t>
      </w:r>
    </w:p>
    <w:p w14:paraId="03E21D45">
      <w:pPr>
        <w:autoSpaceDE w:val="0"/>
        <w:autoSpaceDN w:val="0"/>
        <w:adjustRightInd w:val="0"/>
        <w:spacing w:before="156"/>
        <w:ind w:firstLine="480"/>
        <w:rPr>
          <w:rFonts w:cs="Times New Roman"/>
          <w:kern w:val="0"/>
          <w:szCs w:val="24"/>
        </w:rPr>
      </w:pPr>
      <m:oMath>
        <m:sSub>
          <m:sSubPr>
            <m:ctrlPr>
              <w:rPr>
                <w:rFonts w:ascii="Cambria Math" w:hAnsi="Cambria Math" w:cs="Times New Roman"/>
                <w:i/>
                <w:kern w:val="0"/>
                <w:szCs w:val="24"/>
              </w:rPr>
            </m:ctrlPr>
          </m:sSubPr>
          <m:e>
            <m:r>
              <m:rPr/>
              <w:rPr>
                <w:rFonts w:ascii="Cambria Math" w:hAnsi="Cambria Math" w:cs="Times New Roman"/>
                <w:kern w:val="0"/>
                <w:szCs w:val="24"/>
              </w:rPr>
              <m:t>F</m:t>
            </m:r>
            <m:ctrlPr>
              <w:rPr>
                <w:rFonts w:ascii="Cambria Math" w:hAnsi="Cambria Math" w:cs="Times New Roman"/>
                <w:i/>
                <w:kern w:val="0"/>
                <w:szCs w:val="24"/>
              </w:rPr>
            </m:ctrlPr>
          </m:e>
          <m:sub>
            <m:r>
              <m:rPr>
                <m:sty m:val="p"/>
              </m:rPr>
              <w:rPr>
                <w:rFonts w:ascii="Cambria Math" w:hAnsi="Cambria Math" w:cs="Times New Roman"/>
                <w:kern w:val="0"/>
                <w:szCs w:val="24"/>
              </w:rPr>
              <m:t>z</m:t>
            </m:r>
            <m:ctrlPr>
              <w:rPr>
                <w:rFonts w:ascii="Cambria Math" w:hAnsi="Cambria Math" w:cs="Times New Roman"/>
                <w:i/>
                <w:kern w:val="0"/>
                <w:szCs w:val="24"/>
              </w:rPr>
            </m:ctrlPr>
          </m:sub>
        </m:sSub>
      </m:oMath>
      <w:r>
        <w:rPr>
          <w:rFonts w:cs="Times New Roman"/>
          <w:szCs w:val="24"/>
        </w:rPr>
        <w:t>——</w:t>
      </w:r>
      <w:r>
        <w:rPr>
          <w:rFonts w:hint="eastAsia" w:cs="Times New Roman"/>
          <w:szCs w:val="24"/>
        </w:rPr>
        <w:t>锻锤</w:t>
      </w:r>
      <w:r>
        <w:rPr>
          <w:rFonts w:cs="Times New Roman"/>
          <w:kern w:val="0"/>
          <w:szCs w:val="24"/>
        </w:rPr>
        <w:t xml:space="preserve">通过基组重心的竖向扰力峰值； </w:t>
      </w:r>
    </w:p>
    <w:p w14:paraId="14899B30">
      <w:pPr>
        <w:autoSpaceDE w:val="0"/>
        <w:autoSpaceDN w:val="0"/>
        <w:adjustRightInd w:val="0"/>
        <w:spacing w:before="156"/>
        <w:ind w:firstLine="480"/>
        <w:rPr>
          <w:rFonts w:cs="Times New Roman"/>
          <w:kern w:val="0"/>
          <w:szCs w:val="24"/>
        </w:rPr>
      </w:pPr>
      <m:oMath>
        <m:sSub>
          <m:sSubPr>
            <m:ctrlPr>
              <w:rPr>
                <w:rFonts w:ascii="Cambria Math" w:hAnsi="Cambria Math" w:cs="Times New Roman"/>
                <w:kern w:val="0"/>
                <w:szCs w:val="24"/>
              </w:rPr>
            </m:ctrlPr>
          </m:sSubPr>
          <m:e>
            <m:r>
              <m:rPr/>
              <w:rPr>
                <w:rFonts w:ascii="Cambria Math" w:hAnsi="Cambria Math" w:cs="Times New Roman"/>
                <w:kern w:val="0"/>
                <w:szCs w:val="24"/>
              </w:rPr>
              <m:t>Τ</m:t>
            </m:r>
            <m:ctrlPr>
              <w:rPr>
                <w:rFonts w:ascii="Cambria Math" w:hAnsi="Cambria Math" w:cs="Times New Roman"/>
                <w:kern w:val="0"/>
                <w:szCs w:val="24"/>
              </w:rPr>
            </m:ctrlPr>
          </m:e>
          <m:sub>
            <m:r>
              <m:rPr>
                <m:sty m:val="p"/>
              </m:rPr>
              <w:rPr>
                <w:rFonts w:ascii="Cambria Math" w:hAnsi="Cambria Math" w:cs="Times New Roman"/>
                <w:kern w:val="0"/>
                <w:szCs w:val="24"/>
              </w:rPr>
              <m:t>nz</m:t>
            </m:r>
            <m:ctrlPr>
              <w:rPr>
                <w:rFonts w:ascii="Cambria Math" w:hAnsi="Cambria Math" w:cs="Times New Roman"/>
                <w:kern w:val="0"/>
                <w:szCs w:val="24"/>
              </w:rPr>
            </m:ctrlPr>
          </m:sub>
        </m:sSub>
      </m:oMath>
      <w:r>
        <w:rPr>
          <w:rFonts w:cs="Times New Roman"/>
          <w:szCs w:val="24"/>
        </w:rPr>
        <w:t>——</w:t>
      </w:r>
      <w:r>
        <w:rPr>
          <w:rFonts w:cs="Times New Roman"/>
          <w:kern w:val="0"/>
          <w:szCs w:val="24"/>
        </w:rPr>
        <w:t>基组竖向固有周期；</w:t>
      </w:r>
    </w:p>
    <w:p w14:paraId="7E133FF9">
      <w:pPr>
        <w:pStyle w:val="5"/>
        <w:spacing w:before="156"/>
        <w:ind w:firstLine="241"/>
        <w:rPr>
          <w:rFonts w:cs="Times New Roman"/>
        </w:rPr>
      </w:pPr>
      <w:r>
        <w:rPr>
          <w:b/>
        </w:rPr>
        <w:t>2.2.2</w:t>
      </w:r>
      <w:r>
        <w:rPr>
          <w:rFonts w:hint="eastAsia"/>
        </w:rPr>
        <w:t>　</w:t>
      </w:r>
      <w:r>
        <w:rPr>
          <w:rFonts w:cs="Times New Roman"/>
        </w:rPr>
        <w:t>计算指标</w:t>
      </w:r>
    </w:p>
    <w:p w14:paraId="438A34DC">
      <w:pPr>
        <w:spacing w:before="156"/>
        <w:ind w:firstLine="480"/>
        <w:textAlignment w:val="center"/>
        <w:rPr>
          <w:rFonts w:cs="Times New Roman"/>
          <w:szCs w:val="24"/>
        </w:rPr>
      </w:pPr>
      <m:oMath>
        <m:sSub>
          <m:sSubPr>
            <m:ctrlPr>
              <w:rPr>
                <w:rFonts w:ascii="Cambria Math" w:hAnsi="Cambria Math" w:cs="Times New Roman"/>
                <w:szCs w:val="24"/>
              </w:rPr>
            </m:ctrlPr>
          </m:sSubPr>
          <m:e>
            <m:r>
              <m:rPr/>
              <w:rPr>
                <w:rFonts w:ascii="Cambria Math" w:hAnsi="Cambria Math" w:cs="Times New Roman"/>
                <w:szCs w:val="24"/>
              </w:rPr>
              <m:t>f</m:t>
            </m:r>
            <m:ctrlPr>
              <w:rPr>
                <w:rFonts w:ascii="Cambria Math" w:hAnsi="Cambria Math" w:cs="Times New Roman"/>
                <w:szCs w:val="24"/>
              </w:rPr>
            </m:ctrlPr>
          </m:e>
          <m:sub>
            <m:r>
              <m:rPr>
                <m:sty m:val="p"/>
              </m:rPr>
              <w:rPr>
                <w:rFonts w:ascii="Cambria Math" w:hAnsi="Cambria Math" w:cs="Times New Roman"/>
                <w:szCs w:val="24"/>
              </w:rPr>
              <m:t>ak</m:t>
            </m:r>
            <m:ctrlPr>
              <w:rPr>
                <w:rFonts w:ascii="Cambria Math" w:hAnsi="Cambria Math" w:cs="Times New Roman"/>
                <w:szCs w:val="24"/>
              </w:rPr>
            </m:ctrlPr>
          </m:sub>
        </m:sSub>
      </m:oMath>
      <w:r>
        <w:rPr>
          <w:rFonts w:cs="Times New Roman"/>
          <w:szCs w:val="24"/>
        </w:rPr>
        <w:t>——地基承载力特征值；</w:t>
      </w:r>
    </w:p>
    <w:p w14:paraId="281AAA13">
      <w:pPr>
        <w:spacing w:before="156"/>
        <w:ind w:firstLine="480"/>
        <w:rPr>
          <w:rFonts w:cs="Times New Roman"/>
          <w:szCs w:val="24"/>
        </w:rPr>
      </w:pPr>
      <m:oMath>
        <m:sSub>
          <m:sSubPr>
            <m:ctrlPr>
              <w:rPr>
                <w:rFonts w:ascii="Cambria Math" w:hAnsi="Cambria Math" w:cs="Times New Roman"/>
                <w:szCs w:val="24"/>
              </w:rPr>
            </m:ctrlPr>
          </m:sSubPr>
          <m:e>
            <m:r>
              <m:rPr/>
              <w:rPr>
                <w:rFonts w:ascii="Cambria Math" w:hAnsi="Cambria Math" w:cs="Times New Roman"/>
                <w:szCs w:val="24"/>
              </w:rPr>
              <m:t>f</m:t>
            </m:r>
            <m:ctrlPr>
              <w:rPr>
                <w:rFonts w:ascii="Cambria Math" w:hAnsi="Cambria Math" w:cs="Times New Roman"/>
                <w:szCs w:val="24"/>
              </w:rPr>
            </m:ctrlPr>
          </m:e>
          <m:sub>
            <m:r>
              <m:rPr/>
              <w:rPr>
                <w:rFonts w:ascii="Cambria Math" w:hAnsi="Cambria Math" w:cs="Times New Roman"/>
                <w:szCs w:val="24"/>
              </w:rPr>
              <m:t>a</m:t>
            </m:r>
            <m:ctrlPr>
              <w:rPr>
                <w:rFonts w:ascii="Cambria Math" w:hAnsi="Cambria Math" w:cs="Times New Roman"/>
                <w:szCs w:val="24"/>
              </w:rPr>
            </m:ctrlPr>
          </m:sub>
        </m:sSub>
      </m:oMath>
      <w:r>
        <w:rPr>
          <w:rFonts w:cs="Times New Roman"/>
          <w:szCs w:val="24"/>
        </w:rPr>
        <w:t>——修正后的地基承载力特征值；</w:t>
      </w:r>
    </w:p>
    <w:p w14:paraId="21FB5FB0">
      <w:pPr>
        <w:spacing w:before="156"/>
        <w:ind w:firstLine="480"/>
        <w:rPr>
          <w:rFonts w:cs="Times New Roman"/>
          <w:szCs w:val="24"/>
        </w:rPr>
      </w:pPr>
      <m:oMath>
        <m:sSub>
          <m:sSubPr>
            <m:ctrlPr>
              <w:rPr>
                <w:rFonts w:ascii="Cambria Math" w:hAnsi="Cambria Math" w:cs="Times New Roman"/>
                <w:szCs w:val="24"/>
              </w:rPr>
            </m:ctrlPr>
          </m:sSubPr>
          <m:e>
            <m:r>
              <m:rPr/>
              <w:rPr>
                <w:rFonts w:ascii="Cambria Math" w:hAnsi="Cambria Math" w:cs="Times New Roman"/>
                <w:szCs w:val="24"/>
              </w:rPr>
              <m:t>η</m:t>
            </m:r>
            <m:ctrlPr>
              <w:rPr>
                <w:rFonts w:ascii="Cambria Math" w:hAnsi="Cambria Math" w:cs="Times New Roman"/>
                <w:szCs w:val="24"/>
              </w:rPr>
            </m:ctrlPr>
          </m:e>
          <m:sub>
            <m:r>
              <m:rPr/>
              <w:rPr>
                <w:rFonts w:ascii="Cambria Math" w:hAnsi="Cambria Math" w:cs="Times New Roman"/>
                <w:szCs w:val="24"/>
              </w:rPr>
              <m:t>A</m:t>
            </m:r>
            <m:ctrlPr>
              <w:rPr>
                <w:rFonts w:ascii="Cambria Math" w:hAnsi="Cambria Math" w:cs="Times New Roman"/>
                <w:szCs w:val="24"/>
              </w:rPr>
            </m:ctrlPr>
          </m:sub>
        </m:sSub>
      </m:oMath>
      <w:r>
        <w:rPr>
          <w:rFonts w:cs="Times New Roman"/>
          <w:szCs w:val="24"/>
        </w:rPr>
        <w:t>——基础底面积与基础底面静压力的换算系数；</w:t>
      </w:r>
    </w:p>
    <w:p w14:paraId="4392B309">
      <w:pPr>
        <w:spacing w:before="156"/>
        <w:ind w:firstLine="480"/>
        <w:rPr>
          <w:rFonts w:cs="Times New Roman"/>
          <w:szCs w:val="24"/>
        </w:rPr>
      </w:pPr>
      <w:r>
        <w:rPr>
          <w:rFonts w:cs="Times New Roman"/>
          <w:i/>
          <w:szCs w:val="24"/>
        </w:rPr>
        <w:t>β</w:t>
      </w:r>
      <w:r>
        <w:rPr>
          <w:rFonts w:cs="Times New Roman"/>
          <w:szCs w:val="24"/>
          <w:vertAlign w:val="subscript"/>
        </w:rPr>
        <w:t>v</w:t>
      </w:r>
      <w:r>
        <w:rPr>
          <w:rFonts w:cs="Times New Roman"/>
          <w:szCs w:val="24"/>
        </w:rPr>
        <w:t>——地基土的动沉陷影响系数</w:t>
      </w:r>
    </w:p>
    <w:p w14:paraId="6DEB40C6">
      <w:pPr>
        <w:spacing w:before="156"/>
        <w:ind w:firstLine="480"/>
        <w:rPr>
          <w:rFonts w:cs="Times New Roman"/>
          <w:szCs w:val="24"/>
        </w:rPr>
      </w:pPr>
      <m:oMath>
        <m:sSub>
          <m:sSubPr>
            <m:ctrlPr>
              <w:rPr>
                <w:rFonts w:ascii="Cambria Math" w:hAnsi="Cambria Math" w:cs="Times New Roman"/>
                <w:szCs w:val="24"/>
              </w:rPr>
            </m:ctrlPr>
          </m:sSubPr>
          <m:e>
            <m:r>
              <m:rPr/>
              <w:rPr>
                <w:rFonts w:ascii="Cambria Math" w:hAnsi="Cambria Math" w:cs="Times New Roman"/>
                <w:szCs w:val="24"/>
              </w:rPr>
              <m:t>α</m:t>
            </m:r>
            <m:ctrlPr>
              <w:rPr>
                <w:rFonts w:ascii="Cambria Math" w:hAnsi="Cambria Math" w:cs="Times New Roman"/>
                <w:szCs w:val="24"/>
              </w:rPr>
            </m:ctrlPr>
          </m:e>
          <m:sub>
            <m:r>
              <m:rPr>
                <m:sty m:val="p"/>
              </m:rPr>
              <w:rPr>
                <w:rFonts w:ascii="Cambria Math" w:hAnsi="Cambria Math" w:cs="Times New Roman"/>
                <w:szCs w:val="24"/>
              </w:rPr>
              <m:t>v</m:t>
            </m:r>
            <m:ctrlPr>
              <w:rPr>
                <w:rFonts w:ascii="Cambria Math" w:hAnsi="Cambria Math" w:cs="Times New Roman"/>
                <w:szCs w:val="24"/>
              </w:rPr>
            </m:ctrlPr>
          </m:sub>
        </m:sSub>
      </m:oMath>
      <w:r>
        <w:rPr>
          <w:rFonts w:cs="Times New Roman"/>
          <w:szCs w:val="24"/>
        </w:rPr>
        <w:t>——地基承载力的动力折减系数；</w:t>
      </w:r>
    </w:p>
    <w:p w14:paraId="7520EA55">
      <w:pPr>
        <w:spacing w:before="156"/>
        <w:ind w:firstLine="480"/>
        <w:jc w:val="left"/>
        <w:rPr>
          <w:rFonts w:cs="Times New Roman"/>
          <w:szCs w:val="24"/>
        </w:rPr>
      </w:pPr>
      <m:oMath>
        <m:sSub>
          <m:sSubPr>
            <m:ctrlPr>
              <w:rPr>
                <w:rFonts w:ascii="Cambria Math" w:hAnsi="Cambria Math" w:cs="Times New Roman"/>
                <w:i/>
                <w:szCs w:val="24"/>
              </w:rPr>
            </m:ctrlPr>
          </m:sSubPr>
          <m:e>
            <m:r>
              <m:rPr/>
              <w:rPr>
                <w:rFonts w:ascii="Cambria Math" w:hAnsi="Cambria Math" w:cs="Times New Roman"/>
                <w:szCs w:val="24"/>
              </w:rPr>
              <m:t>m</m:t>
            </m:r>
            <m:ctrlPr>
              <w:rPr>
                <w:rFonts w:ascii="Cambria Math" w:hAnsi="Cambria Math" w:cs="Times New Roman"/>
                <w:i/>
                <w:szCs w:val="24"/>
              </w:rPr>
            </m:ctrlPr>
          </m:e>
          <m:sub>
            <m:r>
              <m:rPr/>
              <w:rPr>
                <w:rFonts w:ascii="Cambria Math" w:hAnsi="Cambria Math" w:cs="Times New Roman"/>
                <w:szCs w:val="24"/>
              </w:rPr>
              <m:t>2</m:t>
            </m:r>
            <m:ctrlPr>
              <w:rPr>
                <w:rFonts w:ascii="Cambria Math" w:hAnsi="Cambria Math" w:cs="Times New Roman"/>
                <w:i/>
                <w:szCs w:val="24"/>
              </w:rPr>
            </m:ctrlPr>
          </m:sub>
        </m:sSub>
      </m:oMath>
      <w:r>
        <w:rPr>
          <w:rFonts w:cs="Times New Roman"/>
          <w:szCs w:val="24"/>
        </w:rPr>
        <w:t>——</w:t>
      </w:r>
      <w:r>
        <w:rPr>
          <w:rFonts w:hint="eastAsia" w:cs="Times New Roman"/>
          <w:szCs w:val="24"/>
        </w:rPr>
        <w:t>锻锤设备</w:t>
      </w:r>
      <w:r>
        <w:rPr>
          <w:rFonts w:cs="Times New Roman"/>
          <w:szCs w:val="24"/>
        </w:rPr>
        <w:t>质量</w:t>
      </w:r>
      <w:r>
        <w:rPr>
          <w:rFonts w:hint="eastAsia" w:cs="Times New Roman"/>
          <w:szCs w:val="24"/>
        </w:rPr>
        <w:t>，不含落下部分质量</w:t>
      </w:r>
      <w:r>
        <w:rPr>
          <w:rFonts w:cs="Times New Roman"/>
          <w:szCs w:val="24"/>
        </w:rPr>
        <w:t>；</w:t>
      </w:r>
    </w:p>
    <w:p w14:paraId="0ACAA935">
      <w:pPr>
        <w:spacing w:before="156"/>
        <w:ind w:firstLine="480"/>
        <w:jc w:val="left"/>
        <w:rPr>
          <w:rFonts w:cs="Times New Roman"/>
          <w:szCs w:val="24"/>
        </w:rPr>
      </w:pPr>
      <m:oMath>
        <m:sSub>
          <m:sSubPr>
            <m:ctrlPr>
              <w:rPr>
                <w:rFonts w:ascii="Cambria Math" w:hAnsi="Cambria Math" w:cs="Times New Roman"/>
                <w:i/>
                <w:szCs w:val="24"/>
              </w:rPr>
            </m:ctrlPr>
          </m:sSubPr>
          <m:e>
            <m:r>
              <m:rPr/>
              <w:rPr>
                <w:rFonts w:ascii="Cambria Math" w:hAnsi="Cambria Math" w:cs="Times New Roman"/>
                <w:szCs w:val="24"/>
              </w:rPr>
              <m:t>m</m:t>
            </m:r>
            <m:ctrlPr>
              <w:rPr>
                <w:rFonts w:ascii="Cambria Math" w:hAnsi="Cambria Math" w:cs="Times New Roman"/>
                <w:i/>
                <w:szCs w:val="24"/>
              </w:rPr>
            </m:ctrlPr>
          </m:e>
          <m:sub>
            <m:r>
              <m:rPr/>
              <w:rPr>
                <w:rFonts w:ascii="Cambria Math" w:hAnsi="Cambria Math" w:cs="Times New Roman"/>
                <w:szCs w:val="24"/>
              </w:rPr>
              <m:t>0</m:t>
            </m:r>
            <m:ctrlPr>
              <w:rPr>
                <w:rFonts w:ascii="Cambria Math" w:hAnsi="Cambria Math" w:cs="Times New Roman"/>
                <w:i/>
                <w:szCs w:val="24"/>
              </w:rPr>
            </m:ctrlPr>
          </m:sub>
        </m:sSub>
      </m:oMath>
      <w:r>
        <w:rPr>
          <w:rFonts w:cs="Times New Roman"/>
          <w:szCs w:val="24"/>
        </w:rPr>
        <w:t>——</w:t>
      </w:r>
      <w:r>
        <w:rPr>
          <w:rFonts w:hint="eastAsia" w:cs="Times New Roman"/>
          <w:szCs w:val="24"/>
        </w:rPr>
        <w:t>锻锤锤头质量，即落下部分</w:t>
      </w:r>
      <w:r>
        <w:rPr>
          <w:rFonts w:cs="Times New Roman"/>
          <w:szCs w:val="24"/>
        </w:rPr>
        <w:t>质量；</w:t>
      </w:r>
    </w:p>
    <w:p w14:paraId="1BCA0024">
      <w:pPr>
        <w:spacing w:before="156"/>
        <w:ind w:firstLine="480"/>
        <w:jc w:val="left"/>
        <w:rPr>
          <w:rFonts w:cs="Times New Roman"/>
          <w:szCs w:val="24"/>
        </w:rPr>
      </w:pPr>
      <m:oMath>
        <m:sSub>
          <m:sSubPr>
            <m:ctrlPr>
              <w:rPr>
                <w:rFonts w:ascii="Cambria Math" w:hAnsi="Cambria Math" w:cs="Times New Roman"/>
                <w:szCs w:val="24"/>
              </w:rPr>
            </m:ctrlPr>
          </m:sSubPr>
          <m:e>
            <m:r>
              <m:rPr/>
              <w:rPr>
                <w:rFonts w:ascii="Cambria Math" w:hAnsi="Cambria Math" w:cs="Times New Roman"/>
                <w:szCs w:val="24"/>
              </w:rPr>
              <m:t>K</m:t>
            </m:r>
            <m:ctrlPr>
              <w:rPr>
                <w:rFonts w:ascii="Cambria Math" w:hAnsi="Cambria Math" w:cs="Times New Roman"/>
                <w:szCs w:val="24"/>
              </w:rPr>
            </m:ctrlPr>
          </m:e>
          <m:sub>
            <m:r>
              <m:rPr>
                <m:sty m:val="p"/>
              </m:rPr>
              <w:rPr>
                <w:rFonts w:ascii="Cambria Math" w:hAnsi="Cambria Math" w:cs="Times New Roman"/>
                <w:szCs w:val="24"/>
              </w:rPr>
              <m:t>z</m:t>
            </m:r>
            <m:ctrlPr>
              <w:rPr>
                <w:rFonts w:ascii="Cambria Math" w:hAnsi="Cambria Math" w:cs="Times New Roman"/>
                <w:szCs w:val="24"/>
              </w:rPr>
            </m:ctrlPr>
          </m:sub>
        </m:sSub>
      </m:oMath>
      <w:r>
        <w:rPr>
          <w:rFonts w:cs="Times New Roman"/>
          <w:szCs w:val="24"/>
        </w:rPr>
        <w:t>——地基刚度；</w:t>
      </w:r>
    </w:p>
    <w:p w14:paraId="2F742D29">
      <w:pPr>
        <w:spacing w:before="156"/>
        <w:ind w:firstLine="480"/>
        <w:jc w:val="left"/>
        <w:rPr>
          <w:rFonts w:cs="Times New Roman"/>
          <w:szCs w:val="24"/>
        </w:rPr>
      </w:pPr>
      <m:oMath>
        <m:sSub>
          <m:sSubPr>
            <m:ctrlPr>
              <w:rPr>
                <w:rFonts w:ascii="Cambria Math" w:hAnsi="Cambria Math" w:cs="Times New Roman"/>
                <w:szCs w:val="24"/>
              </w:rPr>
            </m:ctrlPr>
          </m:sSubPr>
          <m:e>
            <m:r>
              <m:rPr>
                <m:sty m:val="p"/>
              </m:rPr>
              <w:rPr>
                <w:rFonts w:ascii="Cambria Math" w:hAnsi="Cambria Math" w:cs="Times New Roman"/>
                <w:szCs w:val="24"/>
              </w:rPr>
              <m:t>m</m:t>
            </m:r>
            <m:ctrlPr>
              <w:rPr>
                <w:rFonts w:ascii="Cambria Math" w:hAnsi="Cambria Math" w:cs="Times New Roman"/>
                <w:szCs w:val="24"/>
              </w:rPr>
            </m:ctrlPr>
          </m:e>
          <m:sub>
            <m:r>
              <m:rPr>
                <m:sty m:val="p"/>
              </m:rPr>
              <w:rPr>
                <w:rFonts w:ascii="Cambria Math" w:hAnsi="Cambria Math" w:cs="Times New Roman"/>
                <w:szCs w:val="24"/>
              </w:rPr>
              <m:t>z</m:t>
            </m:r>
            <m:ctrlPr>
              <w:rPr>
                <w:rFonts w:ascii="Cambria Math" w:hAnsi="Cambria Math" w:cs="Times New Roman"/>
                <w:szCs w:val="24"/>
              </w:rPr>
            </m:ctrlPr>
          </m:sub>
        </m:sSub>
      </m:oMath>
      <w:r>
        <w:rPr>
          <w:rFonts w:cs="Times New Roman"/>
          <w:szCs w:val="24"/>
        </w:rPr>
        <w:t>——基组质量。</w:t>
      </w:r>
    </w:p>
    <w:p w14:paraId="16F54DB2">
      <w:pPr>
        <w:autoSpaceDE w:val="0"/>
        <w:autoSpaceDN w:val="0"/>
        <w:adjustRightInd w:val="0"/>
        <w:spacing w:before="156"/>
        <w:ind w:firstLine="480"/>
        <w:rPr>
          <w:rFonts w:cs="Times New Roman"/>
          <w:kern w:val="0"/>
          <w:szCs w:val="24"/>
        </w:rPr>
      </w:pPr>
      <m:oMath>
        <m:sSub>
          <m:sSubPr>
            <m:ctrlPr>
              <w:rPr>
                <w:rFonts w:ascii="Cambria Math" w:hAnsi="Cambria Math" w:cs="Times New Roman"/>
                <w:i/>
                <w:kern w:val="0"/>
                <w:szCs w:val="24"/>
              </w:rPr>
            </m:ctrlPr>
          </m:sSubPr>
          <m:e>
            <m:r>
              <m:rPr/>
              <w:rPr>
                <w:rFonts w:ascii="Cambria Math" w:hAnsi="Cambria Math" w:cs="Times New Roman"/>
                <w:kern w:val="0"/>
                <w:szCs w:val="24"/>
              </w:rPr>
              <m:t>η</m:t>
            </m:r>
            <m:ctrlPr>
              <w:rPr>
                <w:rFonts w:ascii="Cambria Math" w:hAnsi="Cambria Math" w:cs="Times New Roman"/>
                <w:i/>
                <w:kern w:val="0"/>
                <w:szCs w:val="24"/>
              </w:rPr>
            </m:ctrlPr>
          </m:e>
          <m:sub>
            <m:r>
              <m:rPr>
                <m:sty m:val="p"/>
              </m:rPr>
              <w:rPr>
                <w:rFonts w:ascii="Cambria Math" w:hAnsi="Cambria Math" w:cs="Times New Roman"/>
                <w:kern w:val="0"/>
                <w:szCs w:val="24"/>
              </w:rPr>
              <m:t>max</m:t>
            </m:r>
            <m:ctrlPr>
              <w:rPr>
                <w:rFonts w:ascii="Cambria Math" w:hAnsi="Cambria Math" w:cs="Times New Roman"/>
                <w:i/>
                <w:kern w:val="0"/>
                <w:szCs w:val="24"/>
              </w:rPr>
            </m:ctrlPr>
          </m:sub>
        </m:sSub>
      </m:oMath>
      <w:r>
        <w:rPr>
          <w:rFonts w:cs="Times New Roman"/>
          <w:szCs w:val="24"/>
        </w:rPr>
        <w:t>——</w:t>
      </w:r>
      <w:r>
        <w:rPr>
          <w:rFonts w:hint="eastAsia" w:cs="Times New Roman"/>
          <w:szCs w:val="24"/>
        </w:rPr>
        <w:t>冲击作用有阻尼</w:t>
      </w:r>
      <w:r>
        <w:rPr>
          <w:rFonts w:cs="Times New Roman"/>
          <w:kern w:val="0"/>
          <w:szCs w:val="24"/>
        </w:rPr>
        <w:t>动力系数，可按本标准附录</w:t>
      </w:r>
      <w:r>
        <w:rPr>
          <w:rFonts w:hint="eastAsia" w:cs="Times New Roman"/>
          <w:kern w:val="0"/>
          <w:szCs w:val="24"/>
        </w:rPr>
        <w:t>B</w:t>
      </w:r>
      <w:r>
        <w:rPr>
          <w:rFonts w:cs="Times New Roman"/>
          <w:kern w:val="0"/>
          <w:szCs w:val="24"/>
        </w:rPr>
        <w:t>的规定确定；</w:t>
      </w:r>
    </w:p>
    <w:p w14:paraId="5BB26A4C">
      <w:pPr>
        <w:autoSpaceDE w:val="0"/>
        <w:autoSpaceDN w:val="0"/>
        <w:adjustRightInd w:val="0"/>
        <w:spacing w:before="156"/>
        <w:ind w:firstLine="480"/>
        <w:rPr>
          <w:rFonts w:cs="Times New Roman"/>
          <w:kern w:val="0"/>
          <w:szCs w:val="24"/>
        </w:rPr>
      </w:pPr>
      <m:oMath>
        <m:sSub>
          <m:sSubPr>
            <m:ctrlPr>
              <w:rPr>
                <w:rFonts w:ascii="Cambria Math" w:hAnsi="Cambria Math" w:cs="Times New Roman"/>
                <w:i/>
                <w:kern w:val="0"/>
                <w:szCs w:val="24"/>
              </w:rPr>
            </m:ctrlPr>
          </m:sSubPr>
          <m:e>
            <m:r>
              <m:rPr/>
              <w:rPr>
                <w:rFonts w:ascii="Cambria Math" w:hAnsi="Cambria Math" w:cs="Times New Roman"/>
                <w:kern w:val="0"/>
                <w:szCs w:val="24"/>
              </w:rPr>
              <m:t>K</m:t>
            </m:r>
            <m:ctrlPr>
              <w:rPr>
                <w:rFonts w:ascii="Cambria Math" w:hAnsi="Cambria Math" w:cs="Times New Roman"/>
                <w:i/>
                <w:kern w:val="0"/>
                <w:szCs w:val="24"/>
              </w:rPr>
            </m:ctrlPr>
          </m:e>
          <m:sub>
            <m:r>
              <m:rPr>
                <m:sty m:val="p"/>
              </m:rPr>
              <w:rPr>
                <w:rFonts w:ascii="Cambria Math" w:hAnsi="Cambria Math" w:cs="Times New Roman"/>
                <w:kern w:val="0"/>
                <w:szCs w:val="24"/>
              </w:rPr>
              <m:t>z</m:t>
            </m:r>
            <m:ctrlPr>
              <w:rPr>
                <w:rFonts w:ascii="Cambria Math" w:hAnsi="Cambria Math" w:cs="Times New Roman"/>
                <w:i/>
                <w:kern w:val="0"/>
                <w:szCs w:val="24"/>
              </w:rPr>
            </m:ctrlPr>
          </m:sub>
        </m:sSub>
      </m:oMath>
      <w:r>
        <w:rPr>
          <w:rFonts w:cs="Times New Roman"/>
          <w:szCs w:val="24"/>
        </w:rPr>
        <w:t>——天然地基抗压刚度，当为桩基时采用</w:t>
      </w:r>
      <m:oMath>
        <m:sSub>
          <m:sSubPr>
            <m:ctrlPr>
              <w:rPr>
                <w:rFonts w:ascii="Cambria Math" w:hAnsi="Cambria Math" w:cs="Times New Roman"/>
                <w:i/>
                <w:kern w:val="0"/>
                <w:szCs w:val="24"/>
              </w:rPr>
            </m:ctrlPr>
          </m:sSubPr>
          <m:e>
            <m:r>
              <m:rPr/>
              <w:rPr>
                <w:rFonts w:ascii="Cambria Math" w:hAnsi="Cambria Math" w:cs="Times New Roman"/>
                <w:kern w:val="0"/>
                <w:szCs w:val="24"/>
              </w:rPr>
              <m:t>K</m:t>
            </m:r>
            <m:ctrlPr>
              <w:rPr>
                <w:rFonts w:ascii="Cambria Math" w:hAnsi="Cambria Math" w:cs="Times New Roman"/>
                <w:i/>
                <w:kern w:val="0"/>
                <w:szCs w:val="24"/>
              </w:rPr>
            </m:ctrlPr>
          </m:e>
          <m:sub>
            <m:r>
              <m:rPr>
                <m:sty m:val="p"/>
              </m:rPr>
              <w:rPr>
                <w:rFonts w:ascii="Cambria Math" w:hAnsi="Cambria Math" w:cs="Times New Roman"/>
                <w:kern w:val="0"/>
                <w:szCs w:val="24"/>
              </w:rPr>
              <m:t>pz</m:t>
            </m:r>
            <m:ctrlPr>
              <w:rPr>
                <w:rFonts w:ascii="Cambria Math" w:hAnsi="Cambria Math" w:cs="Times New Roman"/>
                <w:i/>
                <w:kern w:val="0"/>
                <w:szCs w:val="24"/>
              </w:rPr>
            </m:ctrlPr>
          </m:sub>
        </m:sSub>
      </m:oMath>
      <w:r>
        <w:rPr>
          <w:rFonts w:cs="Times New Roman"/>
          <w:kern w:val="0"/>
          <w:szCs w:val="24"/>
        </w:rPr>
        <w:t>；</w:t>
      </w:r>
    </w:p>
    <w:p w14:paraId="66A4CE22">
      <w:pPr>
        <w:spacing w:before="156"/>
        <w:ind w:firstLine="480"/>
        <w:rPr>
          <w:rFonts w:cs="Times New Roman"/>
          <w:szCs w:val="24"/>
          <w:vertAlign w:val="subscript"/>
        </w:rPr>
      </w:pPr>
      <m:oMath>
        <m:r>
          <m:rPr/>
          <w:rPr>
            <w:rFonts w:ascii="Cambria Math" w:hAnsi="Cambria Math" w:cs="Times New Roman"/>
            <w:kern w:val="0"/>
            <w:szCs w:val="24"/>
          </w:rPr>
          <m:t>m</m:t>
        </m:r>
      </m:oMath>
      <w:r>
        <w:rPr>
          <w:rFonts w:cs="Times New Roman"/>
          <w:szCs w:val="24"/>
        </w:rPr>
        <w:t>——天然地基上基组的质量，当为桩基时采用</w:t>
      </w:r>
      <m:oMath>
        <m:sSub>
          <m:sSubPr>
            <m:ctrlPr>
              <w:rPr>
                <w:rFonts w:ascii="Cambria Math" w:hAnsi="Cambria Math" w:cs="Times New Roman"/>
                <w:kern w:val="0"/>
                <w:szCs w:val="24"/>
              </w:rPr>
            </m:ctrlPr>
          </m:sSubPr>
          <m:e>
            <m:r>
              <m:rPr/>
              <w:rPr>
                <w:rFonts w:ascii="Cambria Math" w:hAnsi="Cambria Math" w:cs="Times New Roman"/>
                <w:kern w:val="0"/>
                <w:szCs w:val="24"/>
              </w:rPr>
              <m:t>m</m:t>
            </m:r>
            <m:ctrlPr>
              <w:rPr>
                <w:rFonts w:ascii="Cambria Math" w:hAnsi="Cambria Math" w:cs="Times New Roman"/>
                <w:kern w:val="0"/>
                <w:szCs w:val="24"/>
              </w:rPr>
            </m:ctrlPr>
          </m:e>
          <m:sub>
            <m:r>
              <m:rPr>
                <m:sty m:val="p"/>
              </m:rPr>
              <w:rPr>
                <w:rFonts w:ascii="Cambria Math" w:hAnsi="Cambria Math" w:cs="Times New Roman"/>
                <w:kern w:val="0"/>
                <w:szCs w:val="24"/>
              </w:rPr>
              <m:t>pz</m:t>
            </m:r>
            <m:ctrlPr>
              <w:rPr>
                <w:rFonts w:ascii="Cambria Math" w:hAnsi="Cambria Math" w:cs="Times New Roman"/>
                <w:kern w:val="0"/>
                <w:szCs w:val="24"/>
              </w:rPr>
            </m:ctrlPr>
          </m:sub>
        </m:sSub>
      </m:oMath>
      <w:r>
        <w:rPr>
          <w:rFonts w:cs="Times New Roman"/>
          <w:szCs w:val="24"/>
        </w:rPr>
        <w:t>；</w:t>
      </w:r>
    </w:p>
    <w:p w14:paraId="5B84D71A">
      <w:pPr>
        <w:autoSpaceDE w:val="0"/>
        <w:autoSpaceDN w:val="0"/>
        <w:adjustRightInd w:val="0"/>
        <w:spacing w:before="156"/>
        <w:ind w:firstLine="480"/>
        <w:rPr>
          <w:rFonts w:cs="Times New Roman"/>
          <w:kern w:val="0"/>
          <w:szCs w:val="24"/>
        </w:rPr>
      </w:pPr>
      <m:oMath>
        <m:sSub>
          <m:sSubPr>
            <m:ctrlPr>
              <w:rPr>
                <w:rFonts w:ascii="Cambria Math" w:hAnsi="Cambria Math" w:cs="Times New Roman"/>
                <w:i/>
                <w:kern w:val="0"/>
                <w:szCs w:val="24"/>
              </w:rPr>
            </m:ctrlPr>
          </m:sSubPr>
          <m:e>
            <m:r>
              <m:rPr/>
              <w:rPr>
                <w:rFonts w:ascii="Cambria Math" w:hAnsi="Cambria Math" w:cs="Times New Roman"/>
                <w:kern w:val="0"/>
                <w:szCs w:val="24"/>
              </w:rPr>
              <m:t>η</m:t>
            </m:r>
            <m:ctrlPr>
              <w:rPr>
                <w:rFonts w:ascii="Cambria Math" w:hAnsi="Cambria Math" w:cs="Times New Roman"/>
                <w:i/>
                <w:kern w:val="0"/>
                <w:szCs w:val="24"/>
              </w:rPr>
            </m:ctrlPr>
          </m:e>
          <m:sub>
            <m:r>
              <m:rPr>
                <m:sty m:val="p"/>
              </m:rPr>
              <w:rPr>
                <w:rFonts w:ascii="Cambria Math" w:hAnsi="Cambria Math" w:cs="Times New Roman"/>
                <w:kern w:val="0"/>
                <w:szCs w:val="24"/>
              </w:rPr>
              <m:t>max</m:t>
            </m:r>
            <m:ctrlPr>
              <w:rPr>
                <w:rFonts w:ascii="Cambria Math" w:hAnsi="Cambria Math" w:cs="Times New Roman"/>
                <w:i/>
                <w:kern w:val="0"/>
                <w:szCs w:val="24"/>
              </w:rPr>
            </m:ctrlPr>
          </m:sub>
        </m:sSub>
      </m:oMath>
      <w:r>
        <w:rPr>
          <w:rFonts w:cs="Times New Roman"/>
          <w:szCs w:val="24"/>
        </w:rPr>
        <w:t>——</w:t>
      </w:r>
      <w:r>
        <w:rPr>
          <w:rFonts w:cs="Times New Roman"/>
          <w:kern w:val="0"/>
          <w:szCs w:val="24"/>
        </w:rPr>
        <w:t>动力系数，可按本标准附录A的规定确定；</w:t>
      </w:r>
    </w:p>
    <w:p w14:paraId="123CD7BD">
      <w:pPr>
        <w:spacing w:before="156"/>
        <w:ind w:firstLine="480"/>
        <w:rPr>
          <w:rFonts w:cs="Times New Roman"/>
          <w:szCs w:val="24"/>
        </w:rPr>
      </w:pPr>
    </w:p>
    <w:p w14:paraId="432D3897">
      <w:pPr>
        <w:pStyle w:val="5"/>
        <w:spacing w:before="156"/>
        <w:ind w:firstLine="240"/>
      </w:pPr>
      <w:r>
        <w:rPr>
          <w:rFonts w:hint="eastAsia"/>
        </w:rPr>
        <w:t>2.2.</w:t>
      </w:r>
      <w:r>
        <w:t>3</w:t>
      </w:r>
      <w:r>
        <w:rPr>
          <w:rFonts w:hint="eastAsia"/>
        </w:rPr>
        <w:t>　几何参数</w:t>
      </w:r>
    </w:p>
    <w:p w14:paraId="38E0C4E9">
      <w:pPr>
        <w:spacing w:before="156"/>
        <w:ind w:firstLine="480"/>
        <w:rPr>
          <w:rFonts w:cs="Times New Roman"/>
          <w:szCs w:val="24"/>
        </w:rPr>
      </w:pPr>
      <m:oMath>
        <m:sSub>
          <m:sSubPr>
            <m:ctrlPr>
              <w:rPr>
                <w:rFonts w:ascii="Cambria Math" w:hAnsi="Cambria Math" w:cs="Times New Roman"/>
                <w:szCs w:val="24"/>
              </w:rPr>
            </m:ctrlPr>
          </m:sSubPr>
          <m:e>
            <m:r>
              <m:rPr/>
              <w:rPr>
                <w:rFonts w:ascii="Cambria Math" w:hAnsi="Cambria Math" w:cs="Times New Roman"/>
                <w:szCs w:val="24"/>
              </w:rPr>
              <m:t>A</m:t>
            </m:r>
            <m:ctrlPr>
              <w:rPr>
                <w:rFonts w:ascii="Cambria Math" w:hAnsi="Cambria Math" w:cs="Times New Roman"/>
                <w:szCs w:val="24"/>
              </w:rPr>
            </m:ctrlPr>
          </m:e>
          <m:sub>
            <m:r>
              <m:rPr/>
              <w:rPr>
                <w:rFonts w:ascii="Cambria Math" w:hAnsi="Cambria Math" w:cs="Times New Roman"/>
                <w:szCs w:val="24"/>
              </w:rPr>
              <m:t>0</m:t>
            </m:r>
            <m:ctrlPr>
              <w:rPr>
                <w:rFonts w:ascii="Cambria Math" w:hAnsi="Cambria Math" w:cs="Times New Roman"/>
                <w:szCs w:val="24"/>
              </w:rPr>
            </m:ctrlPr>
          </m:sub>
        </m:sSub>
      </m:oMath>
      <w:r>
        <w:rPr>
          <w:rFonts w:cs="Times New Roman"/>
          <w:szCs w:val="24"/>
        </w:rPr>
        <w:t>——模型基础底面积；</w:t>
      </w:r>
    </w:p>
    <w:p w14:paraId="21EEE022">
      <w:pPr>
        <w:spacing w:before="156"/>
        <w:ind w:firstLine="480"/>
        <w:rPr>
          <w:rFonts w:cs="Times New Roman"/>
          <w:szCs w:val="24"/>
        </w:rPr>
      </w:pPr>
      <m:oMath>
        <m:sSub>
          <m:sSubPr>
            <m:ctrlPr>
              <w:rPr>
                <w:rFonts w:ascii="Cambria Math" w:hAnsi="Cambria Math" w:cs="Times New Roman"/>
                <w:szCs w:val="24"/>
              </w:rPr>
            </m:ctrlPr>
          </m:sSubPr>
          <m:e>
            <m:r>
              <m:rPr/>
              <w:rPr>
                <w:rFonts w:ascii="Cambria Math" w:hAnsi="Cambria Math" w:cs="Times New Roman"/>
                <w:szCs w:val="24"/>
              </w:rPr>
              <m:t>A</m:t>
            </m:r>
            <m:ctrlPr>
              <w:rPr>
                <w:rFonts w:ascii="Cambria Math" w:hAnsi="Cambria Math" w:cs="Times New Roman"/>
                <w:szCs w:val="24"/>
              </w:rPr>
            </m:ctrlPr>
          </m:e>
          <m:sub>
            <m:r>
              <m:rPr/>
              <w:rPr>
                <w:rFonts w:ascii="Cambria Math" w:hAnsi="Cambria Math" w:cs="Times New Roman"/>
                <w:szCs w:val="24"/>
              </w:rPr>
              <m:t>d</m:t>
            </m:r>
            <m:ctrlPr>
              <w:rPr>
                <w:rFonts w:ascii="Cambria Math" w:hAnsi="Cambria Math" w:cs="Times New Roman"/>
                <w:szCs w:val="24"/>
              </w:rPr>
            </m:ctrlPr>
          </m:sub>
        </m:sSub>
      </m:oMath>
      <w:r>
        <w:rPr>
          <w:rFonts w:cs="Times New Roman"/>
          <w:szCs w:val="24"/>
        </w:rPr>
        <w:t>——设计基础底面积；</w:t>
      </w:r>
    </w:p>
    <w:p w14:paraId="641948BF">
      <w:pPr>
        <w:spacing w:before="156"/>
        <w:ind w:firstLine="480"/>
        <w:rPr>
          <w:rFonts w:cs="Times New Roman"/>
          <w:szCs w:val="24"/>
        </w:rPr>
      </w:pPr>
      <m:oMath>
        <m:sSub>
          <m:sSubPr>
            <m:ctrlPr>
              <w:rPr>
                <w:rFonts w:ascii="Cambria Math" w:hAnsi="Cambria Math" w:cs="Times New Roman"/>
                <w:szCs w:val="24"/>
              </w:rPr>
            </m:ctrlPr>
          </m:sSubPr>
          <m:e>
            <m:r>
              <m:rPr/>
              <w:rPr>
                <w:rFonts w:ascii="Cambria Math" w:hAnsi="Cambria Math" w:cs="Times New Roman"/>
                <w:szCs w:val="24"/>
              </w:rPr>
              <m:t>ℎ</m:t>
            </m:r>
            <m:ctrlPr>
              <w:rPr>
                <w:rFonts w:ascii="Cambria Math" w:hAnsi="Cambria Math" w:cs="Times New Roman"/>
                <w:szCs w:val="24"/>
              </w:rPr>
            </m:ctrlPr>
          </m:e>
          <m:sub>
            <m:r>
              <m:rPr/>
              <w:rPr>
                <w:rFonts w:ascii="Cambria Math" w:hAnsi="Cambria Math" w:cs="Times New Roman"/>
                <w:szCs w:val="24"/>
              </w:rPr>
              <m:t>0</m:t>
            </m:r>
            <m:ctrlPr>
              <w:rPr>
                <w:rFonts w:ascii="Cambria Math" w:hAnsi="Cambria Math" w:cs="Times New Roman"/>
                <w:szCs w:val="24"/>
              </w:rPr>
            </m:ctrlPr>
          </m:sub>
        </m:sSub>
      </m:oMath>
      <w:r>
        <w:rPr>
          <w:rFonts w:cs="Times New Roman"/>
          <w:szCs w:val="24"/>
        </w:rPr>
        <w:t>——基础顶面距离沿</w:t>
      </w:r>
      <w:r>
        <w:rPr>
          <w:rFonts w:cs="Times New Roman"/>
          <w:i/>
          <w:szCs w:val="24"/>
        </w:rPr>
        <w:t>x</w:t>
      </w:r>
      <w:r>
        <w:rPr>
          <w:rFonts w:cs="Times New Roman"/>
          <w:szCs w:val="24"/>
        </w:rPr>
        <w:t>轴水平扰力的高度；</w:t>
      </w:r>
    </w:p>
    <w:p w14:paraId="3908C3C5">
      <w:pPr>
        <w:spacing w:before="156"/>
        <w:ind w:firstLine="480"/>
        <w:rPr>
          <w:rFonts w:cs="Times New Roman"/>
          <w:szCs w:val="24"/>
        </w:rPr>
      </w:pPr>
      <m:oMath>
        <m:sSub>
          <m:sSubPr>
            <m:ctrlPr>
              <w:rPr>
                <w:rFonts w:ascii="Cambria Math" w:hAnsi="Cambria Math" w:cs="Times New Roman"/>
                <w:szCs w:val="24"/>
              </w:rPr>
            </m:ctrlPr>
          </m:sSubPr>
          <m:e>
            <m:r>
              <m:rPr/>
              <w:rPr>
                <w:rFonts w:ascii="Cambria Math" w:hAnsi="Cambria Math" w:cs="Times New Roman"/>
                <w:szCs w:val="24"/>
              </w:rPr>
              <m:t>ℎ</m:t>
            </m:r>
            <m:ctrlPr>
              <w:rPr>
                <w:rFonts w:ascii="Cambria Math" w:hAnsi="Cambria Math" w:cs="Times New Roman"/>
                <w:szCs w:val="24"/>
              </w:rPr>
            </m:ctrlPr>
          </m:e>
          <m:sub>
            <m:r>
              <m:rPr/>
              <w:rPr>
                <w:rFonts w:ascii="Cambria Math" w:hAnsi="Cambria Math" w:cs="Times New Roman"/>
                <w:szCs w:val="24"/>
              </w:rPr>
              <m:t>1</m:t>
            </m:r>
            <m:ctrlPr>
              <w:rPr>
                <w:rFonts w:ascii="Cambria Math" w:hAnsi="Cambria Math" w:cs="Times New Roman"/>
                <w:szCs w:val="24"/>
              </w:rPr>
            </m:ctrlPr>
          </m:sub>
        </m:sSub>
      </m:oMath>
      <w:r>
        <w:rPr>
          <w:rFonts w:cs="Times New Roman"/>
          <w:szCs w:val="24"/>
        </w:rPr>
        <w:t>——基组质心至基础顶面的距离</w:t>
      </w:r>
      <w:r>
        <w:rPr>
          <w:rFonts w:hint="eastAsia" w:cs="Times New Roman"/>
          <w:szCs w:val="24"/>
        </w:rPr>
        <w:t>；</w:t>
      </w:r>
    </w:p>
    <w:p w14:paraId="204B2420">
      <w:pPr>
        <w:spacing w:before="156"/>
        <w:ind w:firstLine="480"/>
        <w:rPr>
          <w:rFonts w:cs="Times New Roman"/>
          <w:szCs w:val="24"/>
        </w:rPr>
      </w:pPr>
      <m:oMath>
        <m:sSub>
          <m:sSubPr>
            <m:ctrlPr>
              <w:rPr>
                <w:rFonts w:ascii="Cambria Math" w:hAnsi="Cambria Math" w:cs="Times New Roman"/>
                <w:szCs w:val="24"/>
              </w:rPr>
            </m:ctrlPr>
          </m:sSubPr>
          <m:e>
            <m:r>
              <m:rPr/>
              <w:rPr>
                <w:rFonts w:ascii="Cambria Math" w:hAnsi="Cambria Math" w:cs="Times New Roman"/>
                <w:szCs w:val="24"/>
              </w:rPr>
              <m:t>ℎ</m:t>
            </m:r>
            <m:ctrlPr>
              <w:rPr>
                <w:rFonts w:ascii="Cambria Math" w:hAnsi="Cambria Math" w:cs="Times New Roman"/>
                <w:szCs w:val="24"/>
              </w:rPr>
            </m:ctrlPr>
          </m:e>
          <m:sub>
            <m:r>
              <m:rPr/>
              <w:rPr>
                <w:rFonts w:ascii="Cambria Math" w:hAnsi="Cambria Math" w:cs="Times New Roman"/>
                <w:szCs w:val="24"/>
              </w:rPr>
              <m:t>2</m:t>
            </m:r>
            <m:ctrlPr>
              <w:rPr>
                <w:rFonts w:ascii="Cambria Math" w:hAnsi="Cambria Math" w:cs="Times New Roman"/>
                <w:szCs w:val="24"/>
              </w:rPr>
            </m:ctrlPr>
          </m:sub>
        </m:sSub>
      </m:oMath>
      <w:r>
        <w:rPr>
          <w:rFonts w:cs="Times New Roman"/>
          <w:szCs w:val="24"/>
        </w:rPr>
        <w:t>——基组质心至基础底面的距离</w:t>
      </w:r>
      <w:r>
        <w:rPr>
          <w:rFonts w:hint="eastAsia" w:cs="Times New Roman"/>
          <w:szCs w:val="24"/>
        </w:rPr>
        <w:t>。</w:t>
      </w:r>
    </w:p>
    <w:p w14:paraId="0B58F9EB">
      <w:pPr>
        <w:spacing w:before="156"/>
        <w:ind w:firstLine="480"/>
        <w:rPr>
          <w:rFonts w:cs="Times New Roman"/>
          <w:szCs w:val="24"/>
        </w:rPr>
      </w:pPr>
    </w:p>
    <w:p w14:paraId="61A988F9">
      <w:pPr>
        <w:spacing w:before="156"/>
        <w:ind w:firstLine="480"/>
        <w:rPr>
          <w:rFonts w:cs="Times New Roman"/>
          <w:szCs w:val="24"/>
        </w:rPr>
      </w:pPr>
    </w:p>
    <w:p w14:paraId="500B7BE5">
      <w:pPr>
        <w:spacing w:before="156"/>
        <w:ind w:firstLine="480"/>
        <w:rPr>
          <w:rFonts w:cs="Times New Roman"/>
          <w:szCs w:val="24"/>
        </w:rPr>
      </w:pPr>
    </w:p>
    <w:p w14:paraId="434EE8C3">
      <w:pPr>
        <w:pStyle w:val="3"/>
      </w:pPr>
      <w:r>
        <w:t xml:space="preserve">3 </w:t>
      </w:r>
      <w:r>
        <w:rPr>
          <w:rFonts w:hint="eastAsia"/>
        </w:rPr>
        <w:t>基本规定</w:t>
      </w:r>
    </w:p>
    <w:p w14:paraId="2EF93A70">
      <w:pPr>
        <w:pStyle w:val="4"/>
        <w:spacing w:before="156"/>
      </w:pPr>
      <w:r>
        <w:rPr>
          <w:rFonts w:hint="eastAsia"/>
        </w:rPr>
        <w:t>3</w:t>
      </w:r>
      <w:r>
        <w:t>.1</w:t>
      </w:r>
      <w:r>
        <w:rPr>
          <w:rFonts w:hint="eastAsia"/>
        </w:rPr>
        <w:t>一般要求</w:t>
      </w:r>
    </w:p>
    <w:p w14:paraId="44664A8E">
      <w:pPr>
        <w:spacing w:before="156"/>
        <w:ind w:firstLine="482"/>
      </w:pPr>
      <w:r>
        <w:rPr>
          <w:b/>
        </w:rPr>
        <w:t>3.1.1</w:t>
      </w:r>
      <w:r>
        <w:rPr>
          <w:rFonts w:hint="eastAsia"/>
          <w:b/>
        </w:rPr>
        <w:t xml:space="preserve"> </w:t>
      </w:r>
      <w:r>
        <w:rPr>
          <w:rFonts w:hint="eastAsia"/>
        </w:rPr>
        <w:t>锻锤的地基</w:t>
      </w:r>
      <w:r>
        <w:t>基础设计应满足下列结构性能要求：</w:t>
      </w:r>
    </w:p>
    <w:p w14:paraId="2346FDA8">
      <w:pPr>
        <w:spacing w:before="156"/>
        <w:ind w:firstLine="482"/>
        <w:rPr>
          <w:rFonts w:cs="Times New Roman"/>
          <w:szCs w:val="24"/>
        </w:rPr>
      </w:pPr>
      <w:r>
        <w:rPr>
          <w:rFonts w:cs="Times New Roman"/>
          <w:b/>
          <w:szCs w:val="24"/>
        </w:rPr>
        <w:t>1</w:t>
      </w:r>
      <w:r>
        <w:rPr>
          <w:rFonts w:hint="eastAsia" w:cs="Times New Roman"/>
          <w:b/>
          <w:szCs w:val="24"/>
        </w:rPr>
        <w:t>　</w:t>
      </w:r>
      <w:r>
        <w:rPr>
          <w:rFonts w:cs="Times New Roman"/>
          <w:szCs w:val="24"/>
        </w:rPr>
        <w:t>在静力荷载作用下，</w:t>
      </w:r>
      <w:r>
        <w:rPr>
          <w:rFonts w:hint="eastAsia" w:cs="Times New Roman"/>
          <w:szCs w:val="24"/>
        </w:rPr>
        <w:t>应验算地基承载力、变形及不均匀沉降，确保满足现行国家标准《建筑地基基础设计规范》GB 50007的要求；抗滑移安全系数不应小于1.3，抗浮稳定性安全系数不应小于1.05。</w:t>
      </w:r>
    </w:p>
    <w:p w14:paraId="24ABA02D">
      <w:pPr>
        <w:spacing w:before="156"/>
        <w:ind w:firstLine="482"/>
        <w:rPr>
          <w:rFonts w:cs="Times New Roman"/>
          <w:szCs w:val="24"/>
        </w:rPr>
      </w:pPr>
      <w:r>
        <w:rPr>
          <w:rFonts w:cs="Times New Roman"/>
          <w:b/>
          <w:szCs w:val="24"/>
        </w:rPr>
        <w:t>2</w:t>
      </w:r>
      <w:r>
        <w:rPr>
          <w:rFonts w:hint="eastAsia" w:cs="Times New Roman"/>
          <w:b/>
          <w:szCs w:val="24"/>
        </w:rPr>
        <w:t>　</w:t>
      </w:r>
      <w:r>
        <w:rPr>
          <w:rFonts w:cs="Times New Roman"/>
          <w:szCs w:val="24"/>
        </w:rPr>
        <w:t>在</w:t>
      </w:r>
      <w:r>
        <w:rPr>
          <w:rFonts w:hint="eastAsia"/>
        </w:rPr>
        <w:t>锻锤</w:t>
      </w:r>
      <w:r>
        <w:rPr>
          <w:rFonts w:hint="eastAsia" w:cs="Times New Roman"/>
          <w:szCs w:val="24"/>
        </w:rPr>
        <w:t>冲击</w:t>
      </w:r>
      <w:r>
        <w:rPr>
          <w:rFonts w:cs="Times New Roman"/>
          <w:szCs w:val="24"/>
        </w:rPr>
        <w:t>振动荷载作用下，</w:t>
      </w:r>
      <w:r>
        <w:rPr>
          <w:rFonts w:hint="eastAsia" w:cs="Times New Roman"/>
          <w:szCs w:val="24"/>
        </w:rPr>
        <w:t>地基动承载力应按下式验算：</w:t>
      </w:r>
    </w:p>
    <w:p w14:paraId="1E6C8330">
      <w:pPr>
        <w:spacing w:before="156"/>
        <w:ind w:firstLine="480"/>
        <w:jc w:val="right"/>
        <w:rPr>
          <w:rFonts w:cs="Times New Roman"/>
          <w:szCs w:val="24"/>
        </w:rPr>
      </w:pPr>
      <m:oMath>
        <m:sSub>
          <m:sSubPr>
            <m:ctrlPr>
              <w:rPr>
                <w:rFonts w:ascii="Cambria Math" w:hAnsi="Cambria Math" w:cs="Times New Roman"/>
                <w:szCs w:val="24"/>
              </w:rPr>
            </m:ctrlPr>
          </m:sSubPr>
          <m:e>
            <m:r>
              <m:rPr/>
              <w:rPr>
                <w:rFonts w:ascii="Cambria Math" w:hAnsi="Cambria Math" w:cs="Times New Roman"/>
                <w:szCs w:val="24"/>
              </w:rPr>
              <m:t>p</m:t>
            </m:r>
            <m:ctrlPr>
              <w:rPr>
                <w:rFonts w:ascii="Cambria Math" w:hAnsi="Cambria Math" w:cs="Times New Roman"/>
                <w:szCs w:val="24"/>
              </w:rPr>
            </m:ctrlPr>
          </m:e>
          <m:sub>
            <m:r>
              <m:rPr>
                <m:sty m:val="p"/>
              </m:rPr>
              <w:rPr>
                <w:rFonts w:ascii="Cambria Math" w:hAnsi="Cambria Math" w:cs="Times New Roman"/>
                <w:szCs w:val="24"/>
              </w:rPr>
              <m:t>max</m:t>
            </m:r>
            <m:ctrlPr>
              <w:rPr>
                <w:rFonts w:ascii="Cambria Math" w:hAnsi="Cambria Math" w:cs="Times New Roman"/>
                <w:szCs w:val="24"/>
              </w:rPr>
            </m:ctrlPr>
          </m:sub>
        </m:sSub>
        <m:r>
          <m:rPr>
            <m:sty m:val="p"/>
          </m:rPr>
          <w:rPr>
            <w:rFonts w:hint="eastAsia"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α</m:t>
            </m:r>
            <m:ctrlPr>
              <w:rPr>
                <w:rFonts w:ascii="Cambria Math" w:hAnsi="Cambria Math" w:cs="Times New Roman"/>
                <w:szCs w:val="24"/>
              </w:rPr>
            </m:ctrlPr>
          </m:e>
          <m:sub>
            <m:r>
              <m:rPr/>
              <w:rPr>
                <w:rFonts w:ascii="Cambria Math" w:hAnsi="Cambria Math" w:cs="Times New Roman"/>
                <w:szCs w:val="24"/>
              </w:rPr>
              <m:t>v</m:t>
            </m:r>
            <m:ctrlPr>
              <w:rPr>
                <w:rFonts w:ascii="Cambria Math" w:hAnsi="Cambria Math" w:cs="Times New Roman"/>
                <w:szCs w:val="24"/>
              </w:rPr>
            </m:ctrlPr>
          </m:sub>
        </m:sSub>
        <m:sSub>
          <m:sSubPr>
            <m:ctrlPr>
              <w:rPr>
                <w:rFonts w:ascii="Cambria Math" w:hAnsi="Cambria Math" w:cs="Times New Roman"/>
                <w:i/>
                <w:szCs w:val="24"/>
              </w:rPr>
            </m:ctrlPr>
          </m:sSubPr>
          <m:e>
            <m:r>
              <m:rPr/>
              <w:rPr>
                <w:rFonts w:ascii="Cambria Math" w:hAnsi="Cambria Math" w:cs="Times New Roman"/>
                <w:szCs w:val="24"/>
              </w:rPr>
              <m:t>f</m:t>
            </m:r>
            <m:ctrlPr>
              <w:rPr>
                <w:rFonts w:ascii="Cambria Math" w:hAnsi="Cambria Math" w:cs="Times New Roman"/>
                <w:i/>
                <w:szCs w:val="24"/>
              </w:rPr>
            </m:ctrlPr>
          </m:e>
          <m:sub>
            <m:r>
              <m:rPr/>
              <w:rPr>
                <w:rFonts w:ascii="Cambria Math" w:hAnsi="Cambria Math" w:cs="Times New Roman"/>
                <w:szCs w:val="24"/>
              </w:rPr>
              <m:t>a</m:t>
            </m:r>
            <m:ctrlPr>
              <w:rPr>
                <w:rFonts w:ascii="Cambria Math" w:hAnsi="Cambria Math" w:cs="Times New Roman"/>
                <w:i/>
                <w:szCs w:val="24"/>
              </w:rPr>
            </m:ctrlPr>
          </m:sub>
        </m:sSub>
      </m:oMath>
      <w:r>
        <w:rPr>
          <w:rFonts w:hint="eastAsia" w:cs="Times New Roman"/>
          <w:szCs w:val="24"/>
        </w:rPr>
        <w:t xml:space="preserve"> </w:t>
      </w:r>
      <w:r>
        <w:rPr>
          <w:rFonts w:cs="Times New Roman"/>
          <w:szCs w:val="24"/>
        </w:rPr>
        <w:t xml:space="preserve">                   </w:t>
      </w:r>
      <w:r>
        <w:rPr>
          <w:rFonts w:hint="eastAsia" w:cs="Times New Roman"/>
          <w:szCs w:val="24"/>
        </w:rPr>
        <w:t>（3.1.1-1）</w:t>
      </w:r>
    </w:p>
    <w:p w14:paraId="7BF03EBA">
      <w:pPr>
        <w:spacing w:before="156"/>
        <w:ind w:firstLine="480"/>
        <w:rPr>
          <w:rFonts w:cs="Times New Roman"/>
          <w:szCs w:val="24"/>
        </w:rPr>
      </w:pPr>
      <w:r>
        <w:rPr>
          <w:rFonts w:hint="eastAsia" w:cs="Times New Roman"/>
          <w:szCs w:val="24"/>
        </w:rPr>
        <w:t>式中，</w:t>
      </w:r>
      <m:oMath>
        <m:sSub>
          <m:sSubPr>
            <m:ctrlPr>
              <w:rPr>
                <w:rFonts w:ascii="Cambria Math" w:hAnsi="Cambria Math" w:cs="Times New Roman"/>
                <w:szCs w:val="24"/>
              </w:rPr>
            </m:ctrlPr>
          </m:sSubPr>
          <m:e>
            <m:r>
              <m:rPr>
                <m:sty m:val="p"/>
              </m:rPr>
              <w:rPr>
                <w:rFonts w:ascii="Cambria Math" w:hAnsi="Cambria Math" w:cs="Times New Roman"/>
                <w:szCs w:val="24"/>
              </w:rPr>
              <m:t>α</m:t>
            </m:r>
            <m:ctrlPr>
              <w:rPr>
                <w:rFonts w:ascii="Cambria Math" w:hAnsi="Cambria Math" w:cs="Times New Roman"/>
                <w:szCs w:val="24"/>
              </w:rPr>
            </m:ctrlPr>
          </m:e>
          <m:sub>
            <m:r>
              <m:rPr/>
              <w:rPr>
                <w:rFonts w:ascii="Cambria Math" w:hAnsi="Cambria Math" w:cs="Times New Roman"/>
                <w:szCs w:val="24"/>
              </w:rPr>
              <m:t>v</m:t>
            </m:r>
            <m:ctrlPr>
              <w:rPr>
                <w:rFonts w:ascii="Cambria Math" w:hAnsi="Cambria Math" w:cs="Times New Roman"/>
                <w:szCs w:val="24"/>
              </w:rPr>
            </m:ctrlPr>
          </m:sub>
        </m:sSub>
      </m:oMath>
      <w:r>
        <w:rPr>
          <w:rFonts w:hint="eastAsia" w:cs="Times New Roman"/>
          <w:szCs w:val="24"/>
        </w:rPr>
        <w:t>为动力折减系数，按本标准第7.2.3条取值。</w:t>
      </w:r>
    </w:p>
    <w:p w14:paraId="5E6B2BC7">
      <w:pPr>
        <w:spacing w:before="156"/>
        <w:ind w:firstLine="480"/>
        <w:rPr>
          <w:rFonts w:cs="Times New Roman"/>
          <w:szCs w:val="24"/>
        </w:rPr>
      </w:pPr>
      <w:r>
        <w:rPr>
          <w:rFonts w:hint="eastAsia" w:cs="Times New Roman"/>
          <w:szCs w:val="24"/>
        </w:rPr>
        <w:t>3</w:t>
      </w:r>
      <w:r>
        <w:rPr>
          <w:rFonts w:hint="eastAsia" w:cs="Times New Roman"/>
          <w:b/>
          <w:szCs w:val="24"/>
        </w:rPr>
        <w:t>　</w:t>
      </w:r>
      <w:r>
        <w:rPr>
          <w:rFonts w:hint="eastAsia" w:cs="Times New Roman"/>
          <w:szCs w:val="24"/>
        </w:rPr>
        <w:t>基础顶面振动位移及加速度应符合现行国家标准《建筑工程容许振动标准》GB50868容许振动限值的要求。</w:t>
      </w:r>
    </w:p>
    <w:p w14:paraId="474E0878">
      <w:pPr>
        <w:spacing w:before="156"/>
        <w:ind w:firstLine="482"/>
      </w:pPr>
      <w:r>
        <w:rPr>
          <w:rFonts w:hint="eastAsia" w:cs="Times New Roman"/>
          <w:b/>
          <w:szCs w:val="24"/>
        </w:rPr>
        <w:t>4　</w:t>
      </w:r>
      <w:r>
        <w:rPr>
          <w:rFonts w:hint="eastAsia" w:cs="Times New Roman"/>
          <w:szCs w:val="24"/>
        </w:rPr>
        <w:t>在地震荷载作用下</w:t>
      </w:r>
      <w:r>
        <w:rPr>
          <w:rFonts w:hint="eastAsia"/>
        </w:rPr>
        <w:t>，</w:t>
      </w:r>
      <w:r>
        <w:t>应按《</w:t>
      </w:r>
      <w:r>
        <w:rPr>
          <w:rFonts w:hint="eastAsia"/>
        </w:rPr>
        <w:t>现行国家标准</w:t>
      </w:r>
      <w:r>
        <w:t>建筑抗震设计规范》GB 50011验算地基抗震承载力</w:t>
      </w:r>
      <w:r>
        <w:rPr>
          <w:rFonts w:hint="eastAsia"/>
        </w:rPr>
        <w:t>：</w:t>
      </w:r>
    </w:p>
    <w:p w14:paraId="78951FBB">
      <w:pPr>
        <w:spacing w:before="156"/>
        <w:ind w:firstLine="480"/>
        <w:jc w:val="right"/>
        <w:rPr>
          <w:rFonts w:cs="Times New Roman"/>
          <w:szCs w:val="24"/>
        </w:rPr>
      </w:pPr>
      <m:oMath>
        <m:sSub>
          <m:sSubPr>
            <m:ctrlPr>
              <w:rPr>
                <w:rFonts w:ascii="Cambria Math" w:hAnsi="Cambria Math" w:cs="Times New Roman"/>
                <w:szCs w:val="24"/>
              </w:rPr>
            </m:ctrlPr>
          </m:sSubPr>
          <m:e>
            <m:r>
              <m:rPr/>
              <w:rPr>
                <w:rFonts w:ascii="Cambria Math" w:hAnsi="Cambria Math" w:cs="Times New Roman"/>
                <w:szCs w:val="24"/>
              </w:rPr>
              <m:t>f</m:t>
            </m:r>
            <m:ctrlPr>
              <w:rPr>
                <w:rFonts w:ascii="Cambria Math" w:hAnsi="Cambria Math" w:cs="Times New Roman"/>
                <w:szCs w:val="24"/>
              </w:rPr>
            </m:ctrlPr>
          </m:e>
          <m:sub>
            <m:r>
              <m:rPr/>
              <w:rPr>
                <w:rFonts w:ascii="Cambria Math" w:hAnsi="Cambria Math" w:cs="Times New Roman"/>
                <w:szCs w:val="24"/>
              </w:rPr>
              <m:t>aE</m:t>
            </m:r>
            <m:ctrlPr>
              <w:rPr>
                <w:rFonts w:ascii="Cambria Math" w:hAnsi="Cambria Math" w:cs="Times New Roman"/>
                <w:szCs w:val="24"/>
              </w:rPr>
            </m:ctrlPr>
          </m:sub>
        </m:sSub>
        <m:r>
          <m:rPr>
            <m:sty m:val="p"/>
          </m:rPr>
          <w:rPr>
            <w:rFonts w:hint="eastAsia"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ζ</m:t>
            </m:r>
            <m:ctrlPr>
              <w:rPr>
                <w:rFonts w:ascii="Cambria Math" w:hAnsi="Cambria Math" w:cs="Times New Roman"/>
                <w:szCs w:val="24"/>
              </w:rPr>
            </m:ctrlPr>
          </m:e>
          <m:sub>
            <m:r>
              <m:rPr/>
              <w:rPr>
                <w:rFonts w:ascii="Cambria Math" w:hAnsi="Cambria Math" w:cs="Times New Roman"/>
                <w:szCs w:val="24"/>
              </w:rPr>
              <m:t>a</m:t>
            </m:r>
            <m:ctrlPr>
              <w:rPr>
                <w:rFonts w:ascii="Cambria Math" w:hAnsi="Cambria Math" w:cs="Times New Roman"/>
                <w:szCs w:val="24"/>
              </w:rPr>
            </m:ctrlPr>
          </m:sub>
        </m:sSub>
        <m:sSub>
          <m:sSubPr>
            <m:ctrlPr>
              <w:rPr>
                <w:rFonts w:ascii="Cambria Math" w:hAnsi="Cambria Math" w:cs="Times New Roman"/>
                <w:i/>
                <w:szCs w:val="24"/>
              </w:rPr>
            </m:ctrlPr>
          </m:sSubPr>
          <m:e>
            <m:r>
              <m:rPr/>
              <w:rPr>
                <w:rFonts w:ascii="Cambria Math" w:hAnsi="Cambria Math" w:cs="Times New Roman"/>
                <w:szCs w:val="24"/>
              </w:rPr>
              <m:t>f</m:t>
            </m:r>
            <m:ctrlPr>
              <w:rPr>
                <w:rFonts w:ascii="Cambria Math" w:hAnsi="Cambria Math" w:cs="Times New Roman"/>
                <w:i/>
                <w:szCs w:val="24"/>
              </w:rPr>
            </m:ctrlPr>
          </m:e>
          <m:sub>
            <m:r>
              <m:rPr/>
              <w:rPr>
                <w:rFonts w:ascii="Cambria Math" w:hAnsi="Cambria Math" w:cs="Times New Roman"/>
                <w:szCs w:val="24"/>
              </w:rPr>
              <m:t>a</m:t>
            </m:r>
            <m:ctrlPr>
              <w:rPr>
                <w:rFonts w:ascii="Cambria Math" w:hAnsi="Cambria Math" w:cs="Times New Roman"/>
                <w:i/>
                <w:szCs w:val="24"/>
              </w:rPr>
            </m:ctrlPr>
          </m:sub>
        </m:sSub>
      </m:oMath>
      <w:r>
        <w:rPr>
          <w:rFonts w:hint="eastAsia" w:cs="Times New Roman"/>
          <w:szCs w:val="24"/>
        </w:rPr>
        <w:t xml:space="preserve"> </w:t>
      </w:r>
      <w:r>
        <w:rPr>
          <w:rFonts w:cs="Times New Roman"/>
          <w:szCs w:val="24"/>
        </w:rPr>
        <w:t xml:space="preserve">                   </w:t>
      </w:r>
      <w:r>
        <w:rPr>
          <w:rFonts w:hint="eastAsia" w:cs="Times New Roman"/>
          <w:szCs w:val="24"/>
        </w:rPr>
        <w:t>（3.1.1-2）</w:t>
      </w:r>
    </w:p>
    <w:p w14:paraId="4D9B54E6">
      <w:pPr>
        <w:spacing w:before="156"/>
        <w:ind w:firstLine="480"/>
        <w:rPr>
          <w:rFonts w:cs="Times New Roman"/>
          <w:szCs w:val="24"/>
        </w:rPr>
      </w:pPr>
      <w:r>
        <w:rPr>
          <w:rFonts w:hint="eastAsia" w:cs="Times New Roman"/>
          <w:szCs w:val="24"/>
        </w:rPr>
        <w:t>5　当周边建筑、区域环境或精密仪器设备对振动有要求时，除满足工程自身振动控制标准外，尚应符合现行国家标准《建筑工程容许振动标准》GB50868的规定。</w:t>
      </w:r>
    </w:p>
    <w:p w14:paraId="7220551D">
      <w:pPr>
        <w:spacing w:before="156"/>
        <w:ind w:firstLine="482"/>
      </w:pPr>
      <w:r>
        <w:rPr>
          <w:b/>
        </w:rPr>
        <w:t>3.1.2</w:t>
      </w:r>
      <w:r>
        <w:rPr>
          <w:rFonts w:hint="eastAsia"/>
          <w:b/>
        </w:rPr>
        <w:t>　</w:t>
      </w:r>
      <w:r>
        <w:rPr>
          <w:rFonts w:hint="eastAsia"/>
        </w:rPr>
        <w:t>锻锤</w:t>
      </w:r>
      <w:r>
        <w:t>基础设计时，</w:t>
      </w:r>
      <w:r>
        <w:rPr>
          <w:rFonts w:hint="eastAsia"/>
        </w:rPr>
        <w:t>宜</w:t>
      </w:r>
      <w:r>
        <w:t>取得下列资料：</w:t>
      </w:r>
    </w:p>
    <w:p w14:paraId="112EBEE1">
      <w:pPr>
        <w:spacing w:before="156"/>
        <w:ind w:firstLine="480"/>
      </w:pPr>
      <w:r>
        <w:rPr>
          <w:rFonts w:hint="eastAsia"/>
        </w:rPr>
        <w:t>1 设备参数需要有：机器的规格型号、下落部分公称质量及实际质量、额定打击能量、最大允许打击能量、设计打击频次；设备制造商提供的容许振动限值及特殊要求。</w:t>
      </w:r>
    </w:p>
    <w:p w14:paraId="7F8CC801">
      <w:pPr>
        <w:spacing w:before="156"/>
        <w:ind w:firstLine="480"/>
      </w:pPr>
      <w:r>
        <w:rPr>
          <w:rFonts w:hint="eastAsia"/>
        </w:rPr>
        <w:t>2</w:t>
      </w:r>
      <w:r>
        <w:t xml:space="preserve"> </w:t>
      </w:r>
      <w:r>
        <w:rPr>
          <w:rFonts w:hint="eastAsia"/>
        </w:rPr>
        <w:t>设备安装条件需要有：机器轮廓尺寸图、设备底座外廓图及地脚螺栓布置图；灌浆层厚度、地脚螺栓和预埋件的规格、定位精度及预紧力要求；辅助设备、管道接口位置及坑、沟、孔洞的尺寸与荷载要求。</w:t>
      </w:r>
    </w:p>
    <w:p w14:paraId="4694651B">
      <w:pPr>
        <w:spacing w:before="156"/>
        <w:ind w:firstLine="480"/>
      </w:pPr>
      <w:r>
        <w:rPr>
          <w:rFonts w:hint="eastAsia"/>
        </w:rPr>
        <w:t>3</w:t>
      </w:r>
      <w:r>
        <w:t xml:space="preserve"> </w:t>
      </w:r>
      <w:r>
        <w:rPr>
          <w:rFonts w:hint="eastAsia"/>
        </w:rPr>
        <w:t>设备质量与荷载需要有：机器总质量、质心位置，包括附属设备、管道及最大工件质量；动荷载时程曲线或冲击力传递路径等资料。</w:t>
      </w:r>
    </w:p>
    <w:p w14:paraId="6F095FB8">
      <w:pPr>
        <w:spacing w:before="156"/>
        <w:ind w:firstLine="480"/>
      </w:pPr>
      <w:r>
        <w:rPr>
          <w:rFonts w:hint="eastAsia"/>
        </w:rPr>
        <w:t>4</w:t>
      </w:r>
      <w:r>
        <w:t xml:space="preserve"> </w:t>
      </w:r>
      <w:r>
        <w:rPr>
          <w:rFonts w:hint="eastAsia"/>
        </w:rPr>
        <w:t>相关专业接口资料应包括：工艺专业：锻锤工艺流程图、最大工件尺寸及生产节拍；操作机、取料机布置图；建筑与结构专业：车间厂房基础图、邻近设备基础图及结构抗震等级；公用专业：地下管线分布图、隔振沟或减振措施预留条件；机电专业：动力管线荷载、振动敏感设备位置及容许振动值。</w:t>
      </w:r>
    </w:p>
    <w:p w14:paraId="221DD943">
      <w:pPr>
        <w:spacing w:before="156"/>
        <w:ind w:firstLine="480"/>
      </w:pPr>
      <w:r>
        <w:rPr>
          <w:rFonts w:hint="eastAsia"/>
        </w:rPr>
        <w:t>5</w:t>
      </w:r>
      <w:r>
        <w:t xml:space="preserve"> </w:t>
      </w:r>
      <w:r>
        <w:rPr>
          <w:rFonts w:hint="eastAsia"/>
        </w:rPr>
        <w:t>地勘报告的内容应包括：建设场地岩土工程勘察报告；地基动力特性试验报告；当涉及改造项目时，需要有场地环境振动本底值及历史振动监测数据。</w:t>
      </w:r>
    </w:p>
    <w:p w14:paraId="7AB0C7F0">
      <w:pPr>
        <w:spacing w:before="156"/>
        <w:ind w:firstLine="480"/>
      </w:pPr>
      <w:r>
        <w:rPr>
          <w:rFonts w:hint="eastAsia"/>
        </w:rPr>
        <w:t>6</w:t>
      </w:r>
      <w:r>
        <w:t xml:space="preserve"> </w:t>
      </w:r>
      <w:r>
        <w:rPr>
          <w:rFonts w:hint="eastAsia"/>
        </w:rPr>
        <w:t>环境振动敏感对象的资料应包括：邻近建筑物的结构形式、基础类型及距离；周边振动敏感目标应包括实验室、医院、住宅等的分布及容许振动标准；区域环境保护或职业健康对振动的特殊限制要求。</w:t>
      </w:r>
      <w:r>
        <w:t xml:space="preserve"> </w:t>
      </w:r>
    </w:p>
    <w:p w14:paraId="6AF33B7E">
      <w:pPr>
        <w:spacing w:before="156"/>
        <w:ind w:firstLine="482"/>
      </w:pPr>
      <w:r>
        <w:rPr>
          <w:b/>
        </w:rPr>
        <w:t>3.1.</w:t>
      </w:r>
      <w:r>
        <w:rPr>
          <w:rFonts w:hint="eastAsia"/>
          <w:b/>
        </w:rPr>
        <w:t>3　</w:t>
      </w:r>
      <w:r>
        <w:rPr>
          <w:rFonts w:hint="eastAsia"/>
        </w:rPr>
        <w:t>锻锤</w:t>
      </w:r>
      <w:r>
        <w:t>基础</w:t>
      </w:r>
      <w:r>
        <w:rPr>
          <w:rFonts w:hint="eastAsia"/>
        </w:rPr>
        <w:t>方案选型</w:t>
      </w:r>
      <w:r>
        <w:t>应根据</w:t>
      </w:r>
      <w:r>
        <w:rPr>
          <w:rFonts w:hint="eastAsia"/>
        </w:rPr>
        <w:t>锻锤</w:t>
      </w:r>
      <w:r>
        <w:t>的设备类型和参数规格、工程地质条件和容许振动等要求综合确定。</w:t>
      </w:r>
    </w:p>
    <w:p w14:paraId="103E53FA">
      <w:pPr>
        <w:spacing w:before="156"/>
        <w:ind w:firstLine="482"/>
      </w:pPr>
      <w:r>
        <w:rPr>
          <w:b/>
        </w:rPr>
        <w:t>3.1.</w:t>
      </w:r>
      <w:r>
        <w:rPr>
          <w:rFonts w:hint="eastAsia"/>
          <w:b/>
        </w:rPr>
        <w:t>4　</w:t>
      </w:r>
      <w:r>
        <w:rPr>
          <w:rFonts w:hint="eastAsia"/>
        </w:rPr>
        <w:t>当</w:t>
      </w:r>
      <w:r>
        <w:t>基础</w:t>
      </w:r>
      <w:r>
        <w:rPr>
          <w:rFonts w:hint="eastAsia"/>
        </w:rPr>
        <w:t>遇到冻土层、液化土层、湿陷黄土、腐蚀污染土层、采空区、岩溶地区等特殊地基时，必须采用地基处理技术加固地基。</w:t>
      </w:r>
    </w:p>
    <w:p w14:paraId="42285365">
      <w:pPr>
        <w:spacing w:before="156"/>
        <w:ind w:firstLine="482"/>
      </w:pPr>
      <w:r>
        <w:rPr>
          <w:b/>
        </w:rPr>
        <w:t>3.1.</w:t>
      </w:r>
      <w:r>
        <w:rPr>
          <w:rFonts w:hint="eastAsia"/>
          <w:b/>
        </w:rPr>
        <w:t>5　</w:t>
      </w:r>
      <w:r>
        <w:rPr>
          <w:rFonts w:hint="eastAsia"/>
        </w:rPr>
        <w:t>当锻锤基础的振动不满足人员生活环境要求</w:t>
      </w:r>
      <w:r>
        <w:t>，不符合仪器设备正常工作容许振动标准，以及可能危及建筑物安全或使用寿命时，应当</w:t>
      </w:r>
      <w:r>
        <w:rPr>
          <w:rFonts w:hint="eastAsia"/>
        </w:rPr>
        <w:t>对锻锤采取</w:t>
      </w:r>
      <w:r>
        <w:t>隔振措施。</w:t>
      </w:r>
    </w:p>
    <w:p w14:paraId="5099A400">
      <w:pPr>
        <w:spacing w:before="156"/>
        <w:ind w:firstLine="482"/>
      </w:pPr>
      <w:r>
        <w:rPr>
          <w:b/>
        </w:rPr>
        <w:t>3.</w:t>
      </w:r>
      <w:r>
        <w:rPr>
          <w:rFonts w:hint="eastAsia"/>
          <w:b/>
        </w:rPr>
        <w:t>1</w:t>
      </w:r>
      <w:r>
        <w:rPr>
          <w:b/>
        </w:rPr>
        <w:t>.</w:t>
      </w:r>
      <w:r>
        <w:rPr>
          <w:rFonts w:hint="eastAsia"/>
          <w:b/>
        </w:rPr>
        <w:t>6</w:t>
      </w:r>
      <w:r>
        <w:rPr>
          <w:b/>
        </w:rPr>
        <w:t>　</w:t>
      </w:r>
      <w:r>
        <w:rPr>
          <w:rFonts w:hint="eastAsia"/>
        </w:rPr>
        <w:t>锻锤设备的打击作用宜按落下部分质量的大小分类，见下表所示。</w:t>
      </w:r>
    </w:p>
    <w:p w14:paraId="3135734F">
      <w:pPr>
        <w:pStyle w:val="39"/>
      </w:pPr>
      <w:r>
        <w:rPr>
          <w:rFonts w:hint="eastAsia"/>
        </w:rPr>
        <w:t>表</w:t>
      </w:r>
      <w:r>
        <w:t>3.</w:t>
      </w:r>
      <w:r>
        <w:rPr>
          <w:rFonts w:hint="eastAsia"/>
        </w:rPr>
        <w:t>1.6</w:t>
      </w:r>
      <w:r>
        <w:t xml:space="preserve"> </w:t>
      </w:r>
      <w:r>
        <w:rPr>
          <w:rFonts w:hint="eastAsia"/>
        </w:rPr>
        <w:t>锻锤分类</w:t>
      </w:r>
    </w:p>
    <w:tbl>
      <w:tblPr>
        <w:tblStyle w:val="31"/>
        <w:tblW w:w="5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2"/>
        <w:gridCol w:w="2626"/>
      </w:tblGrid>
      <w:tr w14:paraId="17003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662" w:type="dxa"/>
            <w:shd w:val="clear" w:color="auto" w:fill="auto"/>
            <w:noWrap/>
            <w:tcMar>
              <w:left w:w="0" w:type="dxa"/>
              <w:right w:w="0" w:type="dxa"/>
            </w:tcMar>
            <w:vAlign w:val="center"/>
          </w:tcPr>
          <w:p w14:paraId="6A957956">
            <w:pPr>
              <w:pStyle w:val="39"/>
            </w:pPr>
            <w:r>
              <w:rPr>
                <w:rFonts w:hint="eastAsia"/>
              </w:rPr>
              <w:t>锻锤分</w:t>
            </w:r>
            <w:r>
              <w:rPr>
                <w:rFonts w:hint="eastAsia" w:cs="Times New Roman"/>
                <w:szCs w:val="24"/>
              </w:rPr>
              <w:t>类</w:t>
            </w:r>
          </w:p>
        </w:tc>
        <w:tc>
          <w:tcPr>
            <w:tcW w:w="2626" w:type="dxa"/>
            <w:tcBorders>
              <w:top w:val="single" w:color="auto" w:sz="4" w:space="0"/>
              <w:left w:val="nil"/>
              <w:bottom w:val="single" w:color="auto" w:sz="4" w:space="0"/>
              <w:right w:val="single" w:color="auto" w:sz="4" w:space="0"/>
            </w:tcBorders>
            <w:shd w:val="clear" w:color="auto" w:fill="auto"/>
            <w:vAlign w:val="center"/>
          </w:tcPr>
          <w:p w14:paraId="035CB7B4">
            <w:pPr>
              <w:pStyle w:val="39"/>
            </w:pPr>
            <w:r>
              <w:rPr>
                <w:rFonts w:hint="eastAsia"/>
              </w:rPr>
              <w:t>落下部分质量，t</w:t>
            </w:r>
          </w:p>
        </w:tc>
      </w:tr>
      <w:tr w14:paraId="60E73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662" w:type="dxa"/>
            <w:shd w:val="clear" w:color="auto" w:fill="auto"/>
            <w:noWrap/>
            <w:tcMar>
              <w:left w:w="0" w:type="dxa"/>
              <w:right w:w="0" w:type="dxa"/>
            </w:tcMar>
            <w:vAlign w:val="center"/>
          </w:tcPr>
          <w:p w14:paraId="7E61E629">
            <w:pPr>
              <w:pStyle w:val="39"/>
            </w:pPr>
            <w:r>
              <w:rPr>
                <w:rFonts w:hint="eastAsia"/>
              </w:rPr>
              <w:t>小型</w:t>
            </w:r>
          </w:p>
        </w:tc>
        <w:tc>
          <w:tcPr>
            <w:tcW w:w="2626" w:type="dxa"/>
            <w:tcBorders>
              <w:top w:val="single" w:color="auto" w:sz="4" w:space="0"/>
              <w:left w:val="nil"/>
              <w:bottom w:val="single" w:color="auto" w:sz="4" w:space="0"/>
              <w:right w:val="single" w:color="auto" w:sz="4" w:space="0"/>
            </w:tcBorders>
            <w:shd w:val="clear" w:color="auto" w:fill="auto"/>
            <w:vAlign w:val="center"/>
          </w:tcPr>
          <w:p w14:paraId="0CC79D39">
            <w:pPr>
              <w:pStyle w:val="39"/>
            </w:pPr>
            <m:oMathPara>
              <m:oMath>
                <m:sSub>
                  <m:sSubPr/>
                  <m:e>
                    <m:r>
                      <m:rPr/>
                      <w:rPr>
                        <w:rFonts w:hint="eastAsia"/>
                      </w:rPr>
                      <m:t>m</m:t>
                    </m:r>
                  </m:e>
                  <m:sub>
                    <m:r>
                      <m:rPr/>
                      <m:t>0</m:t>
                    </m:r>
                  </m:sub>
                </m:sSub>
                <m:r>
                  <m:rPr>
                    <m:sty m:val="p"/>
                  </m:rPr>
                  <m:t>&lt;1.0</m:t>
                </m:r>
              </m:oMath>
            </m:oMathPara>
          </w:p>
        </w:tc>
      </w:tr>
      <w:tr w14:paraId="23E33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662" w:type="dxa"/>
            <w:shd w:val="clear" w:color="auto" w:fill="auto"/>
            <w:noWrap/>
            <w:tcMar>
              <w:left w:w="0" w:type="dxa"/>
              <w:right w:w="0" w:type="dxa"/>
            </w:tcMar>
            <w:vAlign w:val="center"/>
          </w:tcPr>
          <w:p w14:paraId="2232B84D">
            <w:pPr>
              <w:pStyle w:val="39"/>
            </w:pPr>
            <w:r>
              <w:rPr>
                <w:rFonts w:hint="eastAsia"/>
              </w:rPr>
              <w:t>中型</w:t>
            </w:r>
          </w:p>
        </w:tc>
        <w:tc>
          <w:tcPr>
            <w:tcW w:w="2626" w:type="dxa"/>
            <w:tcBorders>
              <w:top w:val="single" w:color="auto" w:sz="4" w:space="0"/>
              <w:left w:val="nil"/>
              <w:bottom w:val="single" w:color="auto" w:sz="4" w:space="0"/>
              <w:right w:val="single" w:color="auto" w:sz="4" w:space="0"/>
            </w:tcBorders>
            <w:shd w:val="clear" w:color="auto" w:fill="auto"/>
            <w:vAlign w:val="center"/>
          </w:tcPr>
          <w:p w14:paraId="0ED531C6">
            <w:pPr>
              <w:pStyle w:val="39"/>
            </w:pPr>
            <m:oMathPara>
              <m:oMath>
                <m:r>
                  <m:rPr>
                    <m:sty m:val="p"/>
                  </m:rPr>
                  <m:t>1.0≤</m:t>
                </m:r>
                <m:sSub>
                  <m:sSubPr/>
                  <m:e>
                    <m:r>
                      <m:rPr/>
                      <w:rPr>
                        <w:rFonts w:hint="eastAsia"/>
                      </w:rPr>
                      <m:t>m</m:t>
                    </m:r>
                  </m:e>
                  <m:sub>
                    <m:r>
                      <m:rPr/>
                      <m:t>0</m:t>
                    </m:r>
                  </m:sub>
                </m:sSub>
                <m:r>
                  <m:rPr>
                    <m:sty m:val="p"/>
                  </m:rPr>
                  <m:t>&lt;5.0</m:t>
                </m:r>
              </m:oMath>
            </m:oMathPara>
          </w:p>
        </w:tc>
      </w:tr>
      <w:tr w14:paraId="714A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662" w:type="dxa"/>
            <w:shd w:val="clear" w:color="auto" w:fill="auto"/>
            <w:noWrap/>
            <w:tcMar>
              <w:left w:w="0" w:type="dxa"/>
              <w:right w:w="0" w:type="dxa"/>
            </w:tcMar>
            <w:vAlign w:val="center"/>
          </w:tcPr>
          <w:p w14:paraId="5FBDA5D6">
            <w:pPr>
              <w:pStyle w:val="39"/>
            </w:pPr>
            <w:r>
              <w:rPr>
                <w:rFonts w:hint="eastAsia"/>
              </w:rPr>
              <w:t>大型</w:t>
            </w:r>
          </w:p>
        </w:tc>
        <w:tc>
          <w:tcPr>
            <w:tcW w:w="2626" w:type="dxa"/>
            <w:tcBorders>
              <w:top w:val="single" w:color="auto" w:sz="4" w:space="0"/>
              <w:left w:val="nil"/>
              <w:bottom w:val="single" w:color="auto" w:sz="4" w:space="0"/>
              <w:right w:val="single" w:color="auto" w:sz="4" w:space="0"/>
            </w:tcBorders>
            <w:shd w:val="clear" w:color="auto" w:fill="auto"/>
            <w:vAlign w:val="center"/>
          </w:tcPr>
          <w:p w14:paraId="098FEB7F">
            <w:pPr>
              <w:pStyle w:val="39"/>
            </w:pPr>
            <m:oMathPara>
              <m:oMath>
                <m:r>
                  <m:rPr>
                    <m:sty m:val="p"/>
                  </m:rPr>
                  <m:t>5.0≤</m:t>
                </m:r>
                <m:sSub>
                  <m:sSubPr/>
                  <m:e>
                    <m:r>
                      <m:rPr/>
                      <w:rPr>
                        <w:rFonts w:hint="eastAsia"/>
                      </w:rPr>
                      <m:t>m</m:t>
                    </m:r>
                  </m:e>
                  <m:sub>
                    <m:r>
                      <m:rPr/>
                      <m:t>0</m:t>
                    </m:r>
                  </m:sub>
                </m:sSub>
                <m:r>
                  <m:rPr>
                    <m:sty m:val="p"/>
                  </m:rPr>
                  <m:t>&lt;16.0</m:t>
                </m:r>
              </m:oMath>
            </m:oMathPara>
          </w:p>
        </w:tc>
      </w:tr>
      <w:tr w14:paraId="4CAEC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662" w:type="dxa"/>
            <w:shd w:val="clear" w:color="auto" w:fill="auto"/>
            <w:noWrap/>
            <w:tcMar>
              <w:left w:w="0" w:type="dxa"/>
              <w:right w:w="0" w:type="dxa"/>
            </w:tcMar>
            <w:vAlign w:val="center"/>
          </w:tcPr>
          <w:p w14:paraId="428A0F1B">
            <w:pPr>
              <w:pStyle w:val="39"/>
            </w:pPr>
            <w:r>
              <w:rPr>
                <w:rFonts w:hint="eastAsia"/>
              </w:rPr>
              <w:t>特大型</w:t>
            </w:r>
          </w:p>
        </w:tc>
        <w:tc>
          <w:tcPr>
            <w:tcW w:w="2626" w:type="dxa"/>
            <w:tcBorders>
              <w:top w:val="single" w:color="auto" w:sz="4" w:space="0"/>
              <w:left w:val="nil"/>
              <w:bottom w:val="single" w:color="auto" w:sz="4" w:space="0"/>
              <w:right w:val="single" w:color="auto" w:sz="4" w:space="0"/>
            </w:tcBorders>
            <w:shd w:val="clear" w:color="auto" w:fill="auto"/>
            <w:vAlign w:val="center"/>
          </w:tcPr>
          <w:p w14:paraId="45724ADC">
            <w:pPr>
              <w:pStyle w:val="39"/>
            </w:pPr>
            <m:oMathPara>
              <m:oMath>
                <m:sSub>
                  <m:sSubPr/>
                  <m:e>
                    <m:r>
                      <m:rPr/>
                      <w:rPr>
                        <w:rFonts w:hint="eastAsia"/>
                      </w:rPr>
                      <m:t>m</m:t>
                    </m:r>
                  </m:e>
                  <m:sub>
                    <m:r>
                      <m:rPr/>
                      <m:t>0</m:t>
                    </m:r>
                  </m:sub>
                </m:sSub>
                <m:r>
                  <m:rPr>
                    <m:sty m:val="p"/>
                  </m:rPr>
                  <m:t>≥16</m:t>
                </m:r>
                <m:r>
                  <m:rPr>
                    <m:sty m:val="p"/>
                  </m:rPr>
                  <w:rPr>
                    <w:rFonts w:hint="eastAsia"/>
                  </w:rPr>
                  <m:t>.0</m:t>
                </m:r>
              </m:oMath>
            </m:oMathPara>
          </w:p>
        </w:tc>
      </w:tr>
    </w:tbl>
    <w:p w14:paraId="222E8241">
      <w:pPr>
        <w:pStyle w:val="4"/>
        <w:spacing w:before="156"/>
      </w:pPr>
      <w:r>
        <w:rPr>
          <w:rFonts w:hint="eastAsia"/>
        </w:rPr>
        <w:t>3</w:t>
      </w:r>
      <w:r>
        <w:t xml:space="preserve">.2 </w:t>
      </w:r>
      <w:r>
        <w:rPr>
          <w:rFonts w:hint="eastAsia"/>
        </w:rPr>
        <w:t>地基与基础设计原则</w:t>
      </w:r>
    </w:p>
    <w:p w14:paraId="6D47C025">
      <w:pPr>
        <w:overflowPunct w:val="0"/>
        <w:topLinePunct/>
        <w:spacing w:before="156" w:after="156" w:afterLines="50" w:line="312" w:lineRule="auto"/>
        <w:ind w:firstLine="482"/>
        <w:rPr>
          <w:rFonts w:cs="Times New Roman"/>
          <w:szCs w:val="24"/>
        </w:rPr>
      </w:pPr>
      <w:r>
        <w:rPr>
          <w:rFonts w:cs="Times New Roman"/>
          <w:b/>
          <w:szCs w:val="24"/>
        </w:rPr>
        <w:t>3.2.</w:t>
      </w:r>
      <w:r>
        <w:rPr>
          <w:rFonts w:hint="eastAsia" w:cs="Times New Roman"/>
          <w:b/>
          <w:szCs w:val="24"/>
        </w:rPr>
        <w:t>1</w:t>
      </w:r>
      <w:r>
        <w:rPr>
          <w:rFonts w:cs="Times New Roman"/>
          <w:b/>
          <w:szCs w:val="24"/>
        </w:rPr>
        <w:t>　</w:t>
      </w:r>
      <w:r>
        <w:rPr>
          <w:rFonts w:hint="eastAsia" w:cs="Times New Roman"/>
          <w:szCs w:val="24"/>
        </w:rPr>
        <w:t>锻锤</w:t>
      </w:r>
      <w:r>
        <w:rPr>
          <w:rFonts w:cs="Times New Roman"/>
          <w:szCs w:val="24"/>
        </w:rPr>
        <w:t>基础设计应根据</w:t>
      </w:r>
      <w:r>
        <w:rPr>
          <w:rFonts w:hint="eastAsia" w:cs="Times New Roman"/>
          <w:szCs w:val="24"/>
        </w:rPr>
        <w:t>锻锤分类</w:t>
      </w:r>
      <w:r>
        <w:rPr>
          <w:rFonts w:cs="Times New Roman"/>
          <w:szCs w:val="24"/>
        </w:rPr>
        <w:t>和地基复杂程度分为三个设计等级。设计时应根据具体情况，按表3.2.</w:t>
      </w:r>
      <w:r>
        <w:rPr>
          <w:rFonts w:hint="eastAsia" w:cs="Times New Roman"/>
          <w:szCs w:val="24"/>
        </w:rPr>
        <w:t>1</w:t>
      </w:r>
      <w:r>
        <w:rPr>
          <w:rFonts w:cs="Times New Roman"/>
          <w:szCs w:val="24"/>
        </w:rPr>
        <w:t>确定。</w:t>
      </w:r>
    </w:p>
    <w:p w14:paraId="74A335B0">
      <w:pPr>
        <w:pStyle w:val="39"/>
      </w:pPr>
      <w:r>
        <w:t>表3.2</w:t>
      </w:r>
      <w:r>
        <w:rPr>
          <w:rFonts w:hint="eastAsia"/>
        </w:rPr>
        <w:t>.1</w:t>
      </w:r>
      <w:r>
        <w:t>　</w:t>
      </w:r>
      <w:r>
        <w:rPr>
          <w:rFonts w:hint="eastAsia"/>
        </w:rPr>
        <w:t>锻锤</w:t>
      </w:r>
      <w:r>
        <w:t>基础设计等级</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5891"/>
      </w:tblGrid>
      <w:tr w14:paraId="5BAD8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tcPr>
          <w:p w14:paraId="344F90A8">
            <w:pPr>
              <w:pStyle w:val="39"/>
            </w:pPr>
            <w:r>
              <w:t>设计等级</w:t>
            </w:r>
          </w:p>
        </w:tc>
        <w:tc>
          <w:tcPr>
            <w:tcW w:w="5891" w:type="dxa"/>
          </w:tcPr>
          <w:p w14:paraId="6B6D5046">
            <w:pPr>
              <w:pStyle w:val="39"/>
            </w:pPr>
            <w:r>
              <w:t>地基与基础类型</w:t>
            </w:r>
          </w:p>
        </w:tc>
      </w:tr>
      <w:tr w14:paraId="09DE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Align w:val="center"/>
          </w:tcPr>
          <w:p w14:paraId="2AFCFEBD">
            <w:pPr>
              <w:pStyle w:val="39"/>
            </w:pPr>
            <w:r>
              <w:t>甲级</w:t>
            </w:r>
          </w:p>
        </w:tc>
        <w:tc>
          <w:tcPr>
            <w:tcW w:w="5891" w:type="dxa"/>
          </w:tcPr>
          <w:p w14:paraId="46C553DA">
            <w:pPr>
              <w:pStyle w:val="39"/>
            </w:pPr>
            <w:r>
              <w:rPr>
                <w:rFonts w:hint="eastAsia"/>
              </w:rPr>
              <w:t>特大型锻锤基础</w:t>
            </w:r>
            <w:r>
              <w:t>；</w:t>
            </w:r>
          </w:p>
          <w:p w14:paraId="1B2EBF12">
            <w:pPr>
              <w:pStyle w:val="39"/>
            </w:pPr>
            <w:r>
              <w:t>影响既有建筑安全的</w:t>
            </w:r>
            <w:r>
              <w:rPr>
                <w:rFonts w:hint="eastAsia"/>
              </w:rPr>
              <w:t>锻锤</w:t>
            </w:r>
            <w:r>
              <w:t>基础；</w:t>
            </w:r>
          </w:p>
          <w:p w14:paraId="6B64C617">
            <w:pPr>
              <w:pStyle w:val="39"/>
            </w:pPr>
            <w:r>
              <w:t>场地和地基条件复杂的</w:t>
            </w:r>
            <w:r>
              <w:rPr>
                <w:rFonts w:hint="eastAsia"/>
              </w:rPr>
              <w:t>大型及以上锻锤</w:t>
            </w:r>
            <w:r>
              <w:t>基础；</w:t>
            </w:r>
          </w:p>
          <w:p w14:paraId="1410552C">
            <w:pPr>
              <w:pStyle w:val="39"/>
            </w:pPr>
            <w:r>
              <w:t>开挖深度大于15m的</w:t>
            </w:r>
            <w:r>
              <w:rPr>
                <w:rFonts w:hint="eastAsia"/>
              </w:rPr>
              <w:t>锻锤</w:t>
            </w:r>
            <w:r>
              <w:t>基础；</w:t>
            </w:r>
          </w:p>
          <w:p w14:paraId="51A0335A">
            <w:pPr>
              <w:pStyle w:val="39"/>
            </w:pPr>
            <w:r>
              <w:t>周边环境条件复杂、环境保护要求高的</w:t>
            </w:r>
            <w:r>
              <w:rPr>
                <w:rFonts w:hint="eastAsia"/>
              </w:rPr>
              <w:t>锻锤</w:t>
            </w:r>
            <w:r>
              <w:t>基础</w:t>
            </w:r>
          </w:p>
        </w:tc>
      </w:tr>
      <w:tr w14:paraId="71897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Align w:val="center"/>
          </w:tcPr>
          <w:p w14:paraId="48C2A177">
            <w:pPr>
              <w:pStyle w:val="39"/>
            </w:pPr>
            <w:r>
              <w:t>乙级</w:t>
            </w:r>
          </w:p>
        </w:tc>
        <w:tc>
          <w:tcPr>
            <w:tcW w:w="5891" w:type="dxa"/>
          </w:tcPr>
          <w:p w14:paraId="6DB91C8F">
            <w:pPr>
              <w:pStyle w:val="39"/>
            </w:pPr>
            <w:r>
              <w:t>除甲级、丙级以外的</w:t>
            </w:r>
            <w:r>
              <w:rPr>
                <w:rFonts w:hint="eastAsia"/>
              </w:rPr>
              <w:t>锻锤</w:t>
            </w:r>
            <w:r>
              <w:t>基础</w:t>
            </w:r>
          </w:p>
        </w:tc>
      </w:tr>
      <w:tr w14:paraId="5B459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Align w:val="center"/>
          </w:tcPr>
          <w:p w14:paraId="423FD1B7">
            <w:pPr>
              <w:pStyle w:val="39"/>
            </w:pPr>
            <w:r>
              <w:t>丙级</w:t>
            </w:r>
          </w:p>
        </w:tc>
        <w:tc>
          <w:tcPr>
            <w:tcW w:w="5891" w:type="dxa"/>
          </w:tcPr>
          <w:p w14:paraId="255D2DED">
            <w:pPr>
              <w:pStyle w:val="39"/>
            </w:pPr>
            <w:r>
              <w:t>场地和地基条件简单，</w:t>
            </w:r>
            <w:r>
              <w:rPr>
                <w:rFonts w:hint="eastAsia"/>
              </w:rPr>
              <w:t>小型锻锤</w:t>
            </w:r>
            <w:r>
              <w:t>基础；</w:t>
            </w:r>
          </w:p>
          <w:p w14:paraId="02B7ABC7">
            <w:pPr>
              <w:pStyle w:val="39"/>
            </w:pPr>
            <w:r>
              <w:t>非软土地区且场地地质条件简单、周边环境条件简单、无环境保护要求且开挖深度小于5.0m的</w:t>
            </w:r>
            <w:r>
              <w:rPr>
                <w:rFonts w:hint="eastAsia"/>
              </w:rPr>
              <w:t>锻锤</w:t>
            </w:r>
            <w:r>
              <w:t>基础</w:t>
            </w:r>
          </w:p>
        </w:tc>
      </w:tr>
    </w:tbl>
    <w:p w14:paraId="1836BD9C">
      <w:pPr>
        <w:overflowPunct w:val="0"/>
        <w:topLinePunct/>
        <w:spacing w:before="156" w:after="156" w:afterLines="50" w:line="312" w:lineRule="auto"/>
        <w:ind w:firstLine="482"/>
        <w:rPr>
          <w:rFonts w:cs="Times New Roman"/>
          <w:szCs w:val="24"/>
        </w:rPr>
      </w:pPr>
      <w:r>
        <w:rPr>
          <w:rFonts w:cs="Times New Roman"/>
          <w:b/>
          <w:szCs w:val="24"/>
        </w:rPr>
        <w:t>3.2.</w:t>
      </w:r>
      <w:r>
        <w:rPr>
          <w:rFonts w:hint="eastAsia" w:cs="Times New Roman"/>
          <w:b/>
          <w:szCs w:val="24"/>
        </w:rPr>
        <w:t>2</w:t>
      </w:r>
      <w:r>
        <w:rPr>
          <w:rFonts w:cs="Times New Roman"/>
          <w:b/>
          <w:szCs w:val="24"/>
        </w:rPr>
        <w:t>　</w:t>
      </w:r>
      <w:r>
        <w:rPr>
          <w:rFonts w:hint="eastAsia" w:cs="Times New Roman"/>
          <w:szCs w:val="24"/>
        </w:rPr>
        <w:t>锻锤</w:t>
      </w:r>
      <w:r>
        <w:rPr>
          <w:rFonts w:cs="Times New Roman"/>
          <w:szCs w:val="24"/>
        </w:rPr>
        <w:t>基础设计除应满足地基承载力要求外，尚应符合下列规定：</w:t>
      </w:r>
    </w:p>
    <w:p w14:paraId="0714B715">
      <w:pPr>
        <w:spacing w:before="156"/>
        <w:ind w:firstLine="482"/>
      </w:pPr>
      <w:r>
        <w:rPr>
          <w:b/>
        </w:rPr>
        <w:t>1　</w:t>
      </w:r>
      <w:r>
        <w:t>设计等级为甲级、乙级的基础，均应进行变形验算；</w:t>
      </w:r>
    </w:p>
    <w:p w14:paraId="40C056F4">
      <w:pPr>
        <w:spacing w:before="156"/>
        <w:ind w:firstLine="482"/>
      </w:pPr>
      <w:r>
        <w:rPr>
          <w:b/>
        </w:rPr>
        <w:t>2　</w:t>
      </w:r>
      <w:r>
        <w:t>设计等级为丙级的</w:t>
      </w:r>
      <w:r>
        <w:rPr>
          <w:rFonts w:hint="eastAsia"/>
        </w:rPr>
        <w:t>锻锤</w:t>
      </w:r>
      <w:r>
        <w:t>基础遇下列情况之一时，应作变形验算：</w:t>
      </w:r>
    </w:p>
    <w:p w14:paraId="2DD49C91">
      <w:pPr>
        <w:overflowPunct w:val="0"/>
        <w:topLinePunct/>
        <w:spacing w:before="156" w:after="156" w:afterLines="50" w:line="312" w:lineRule="auto"/>
        <w:ind w:left="672" w:leftChars="280" w:firstLine="482"/>
        <w:rPr>
          <w:rFonts w:cs="Times New Roman"/>
          <w:szCs w:val="24"/>
        </w:rPr>
      </w:pPr>
      <w:r>
        <w:rPr>
          <w:rFonts w:cs="Times New Roman"/>
          <w:b/>
          <w:szCs w:val="24"/>
        </w:rPr>
        <w:t>1）</w:t>
      </w:r>
      <w:r>
        <w:rPr>
          <w:rFonts w:cs="Times New Roman"/>
          <w:szCs w:val="24"/>
        </w:rPr>
        <w:t>地基承载力特征值小于130kPa的锻锤基础；</w:t>
      </w:r>
    </w:p>
    <w:p w14:paraId="50873CEB">
      <w:pPr>
        <w:overflowPunct w:val="0"/>
        <w:topLinePunct/>
        <w:spacing w:before="156" w:after="156" w:afterLines="50" w:line="312" w:lineRule="auto"/>
        <w:ind w:left="672" w:leftChars="280" w:firstLine="482"/>
        <w:rPr>
          <w:rFonts w:cs="Times New Roman"/>
          <w:szCs w:val="24"/>
        </w:rPr>
      </w:pPr>
      <w:r>
        <w:rPr>
          <w:rFonts w:cs="Times New Roman"/>
          <w:b/>
          <w:szCs w:val="24"/>
        </w:rPr>
        <w:t>2）</w:t>
      </w:r>
      <w:r>
        <w:rPr>
          <w:rFonts w:cs="Times New Roman"/>
          <w:szCs w:val="24"/>
        </w:rPr>
        <w:t>在基础上及其附近地面有堆载或相邻基础荷载差异较大，存在引起地基产生不均匀沉降因素时；</w:t>
      </w:r>
    </w:p>
    <w:p w14:paraId="73EFCDC3">
      <w:pPr>
        <w:overflowPunct w:val="0"/>
        <w:topLinePunct/>
        <w:spacing w:before="156" w:after="156" w:afterLines="50" w:line="312" w:lineRule="auto"/>
        <w:ind w:left="672" w:leftChars="280" w:firstLine="482"/>
        <w:rPr>
          <w:rFonts w:cs="Times New Roman"/>
          <w:szCs w:val="24"/>
        </w:rPr>
      </w:pPr>
      <w:r>
        <w:rPr>
          <w:rFonts w:hint="eastAsia" w:cs="Times New Roman"/>
          <w:b/>
          <w:szCs w:val="24"/>
        </w:rPr>
        <w:t>3</w:t>
      </w:r>
      <w:r>
        <w:rPr>
          <w:rFonts w:cs="Times New Roman"/>
          <w:b/>
          <w:szCs w:val="24"/>
        </w:rPr>
        <w:t>）</w:t>
      </w:r>
      <w:r>
        <w:rPr>
          <w:rFonts w:hint="eastAsia" w:cs="Times New Roman"/>
          <w:szCs w:val="24"/>
        </w:rPr>
        <w:t>锻锤</w:t>
      </w:r>
      <w:r>
        <w:rPr>
          <w:rFonts w:cs="Times New Roman"/>
          <w:szCs w:val="24"/>
        </w:rPr>
        <w:t>基础与相邻建筑距离近，可能发生倾斜时；</w:t>
      </w:r>
    </w:p>
    <w:p w14:paraId="51B59485">
      <w:pPr>
        <w:overflowPunct w:val="0"/>
        <w:topLinePunct/>
        <w:spacing w:before="156" w:after="156" w:afterLines="50" w:line="312" w:lineRule="auto"/>
        <w:ind w:left="672" w:leftChars="280" w:firstLine="482"/>
        <w:rPr>
          <w:rFonts w:cs="Times New Roman"/>
          <w:szCs w:val="24"/>
        </w:rPr>
      </w:pPr>
      <w:r>
        <w:rPr>
          <w:rFonts w:cs="Times New Roman"/>
          <w:b/>
          <w:szCs w:val="24"/>
        </w:rPr>
        <w:t>4）</w:t>
      </w:r>
      <w:r>
        <w:rPr>
          <w:rFonts w:cs="Times New Roman"/>
          <w:szCs w:val="24"/>
        </w:rPr>
        <w:t>地基内</w:t>
      </w:r>
      <w:r>
        <w:rPr>
          <w:rFonts w:hint="eastAsia" w:cs="Times New Roman"/>
          <w:szCs w:val="24"/>
        </w:rPr>
        <w:t>有厚度较大或</w:t>
      </w:r>
      <w:r>
        <w:rPr>
          <w:rFonts w:cs="Times New Roman"/>
          <w:szCs w:val="24"/>
        </w:rPr>
        <w:t>厚</w:t>
      </w:r>
      <w:r>
        <w:rPr>
          <w:rFonts w:hint="eastAsia" w:cs="Times New Roman"/>
          <w:szCs w:val="24"/>
        </w:rPr>
        <w:t>薄</w:t>
      </w:r>
      <w:r>
        <w:rPr>
          <w:rFonts w:cs="Times New Roman"/>
          <w:szCs w:val="24"/>
        </w:rPr>
        <w:t>不均匀</w:t>
      </w:r>
      <w:r>
        <w:rPr>
          <w:rFonts w:hint="eastAsia" w:cs="Times New Roman"/>
          <w:szCs w:val="24"/>
        </w:rPr>
        <w:t>的</w:t>
      </w:r>
      <w:r>
        <w:rPr>
          <w:rFonts w:cs="Times New Roman"/>
          <w:szCs w:val="24"/>
        </w:rPr>
        <w:t>填土，自重固结未完成时。</w:t>
      </w:r>
    </w:p>
    <w:p w14:paraId="3E0F94B3">
      <w:pPr>
        <w:overflowPunct w:val="0"/>
        <w:topLinePunct/>
        <w:spacing w:before="156" w:after="156" w:afterLines="50" w:line="312" w:lineRule="auto"/>
        <w:ind w:firstLine="482"/>
        <w:rPr>
          <w:rFonts w:cs="Times New Roman"/>
          <w:szCs w:val="24"/>
        </w:rPr>
      </w:pPr>
      <w:r>
        <w:rPr>
          <w:rFonts w:cs="Times New Roman"/>
          <w:b/>
          <w:szCs w:val="24"/>
        </w:rPr>
        <w:t>3　</w:t>
      </w:r>
      <w:r>
        <w:rPr>
          <w:rFonts w:cs="Times New Roman"/>
          <w:szCs w:val="24"/>
        </w:rPr>
        <w:t>建造在斜坡上或边坡附近的</w:t>
      </w:r>
      <w:r>
        <w:rPr>
          <w:rFonts w:hint="eastAsia" w:cs="Times New Roman"/>
          <w:szCs w:val="24"/>
        </w:rPr>
        <w:t>锻锤</w:t>
      </w:r>
      <w:r>
        <w:rPr>
          <w:rFonts w:cs="Times New Roman"/>
          <w:szCs w:val="24"/>
        </w:rPr>
        <w:t>基础，尚应进行稳定性验算；</w:t>
      </w:r>
    </w:p>
    <w:p w14:paraId="76C85D75">
      <w:pPr>
        <w:overflowPunct w:val="0"/>
        <w:topLinePunct/>
        <w:spacing w:before="156" w:after="156" w:afterLines="50" w:line="312" w:lineRule="auto"/>
        <w:ind w:firstLine="482"/>
        <w:rPr>
          <w:rFonts w:cs="Times New Roman"/>
          <w:szCs w:val="24"/>
        </w:rPr>
      </w:pPr>
      <w:r>
        <w:rPr>
          <w:rFonts w:cs="Times New Roman"/>
          <w:b/>
          <w:szCs w:val="24"/>
        </w:rPr>
        <w:t>4　</w:t>
      </w:r>
      <w:r>
        <w:rPr>
          <w:rFonts w:cs="Times New Roman"/>
          <w:szCs w:val="24"/>
        </w:rPr>
        <w:t>坑式</w:t>
      </w:r>
      <w:r>
        <w:rPr>
          <w:rFonts w:hint="eastAsia" w:cs="Times New Roman"/>
          <w:szCs w:val="24"/>
        </w:rPr>
        <w:t>锻锤</w:t>
      </w:r>
      <w:r>
        <w:rPr>
          <w:rFonts w:cs="Times New Roman"/>
          <w:szCs w:val="24"/>
        </w:rPr>
        <w:t>基础，应进行抗浮</w:t>
      </w:r>
      <w:r>
        <w:rPr>
          <w:rFonts w:hint="eastAsia" w:cs="Times New Roman"/>
          <w:szCs w:val="24"/>
        </w:rPr>
        <w:t>稳定性</w:t>
      </w:r>
      <w:r>
        <w:rPr>
          <w:rFonts w:cs="Times New Roman"/>
          <w:szCs w:val="24"/>
        </w:rPr>
        <w:t>验算。</w:t>
      </w:r>
    </w:p>
    <w:p w14:paraId="403E6849">
      <w:pPr>
        <w:overflowPunct w:val="0"/>
        <w:topLinePunct/>
        <w:spacing w:before="156" w:after="156" w:afterLines="50" w:line="312" w:lineRule="auto"/>
        <w:ind w:firstLine="482"/>
        <w:rPr>
          <w:rFonts w:cs="Times New Roman"/>
          <w:szCs w:val="24"/>
        </w:rPr>
      </w:pPr>
      <w:r>
        <w:rPr>
          <w:rFonts w:hint="eastAsia" w:cstheme="majorBidi"/>
          <w:b/>
          <w:bCs/>
          <w:szCs w:val="28"/>
        </w:rPr>
        <w:t>3.2.3</w:t>
      </w:r>
      <w:r>
        <w:rPr>
          <w:rFonts w:hint="eastAsia"/>
        </w:rPr>
        <w:t xml:space="preserve"> 锻锤基础设计尚应符合现行国家标准《建筑地基基础设计标准》GB 50007、《动力机器基础设计标准》GB 50040的规定。</w:t>
      </w:r>
    </w:p>
    <w:p w14:paraId="23A9DDDD">
      <w:pPr>
        <w:pStyle w:val="4"/>
        <w:spacing w:before="156"/>
      </w:pPr>
      <w:r>
        <w:rPr>
          <w:rFonts w:hint="eastAsia"/>
        </w:rPr>
        <w:t>3</w:t>
      </w:r>
      <w:r>
        <w:t xml:space="preserve">.3 </w:t>
      </w:r>
      <w:r>
        <w:rPr>
          <w:rFonts w:hint="eastAsia"/>
        </w:rPr>
        <w:t>基础材料</w:t>
      </w:r>
    </w:p>
    <w:p w14:paraId="788FDA09">
      <w:pPr>
        <w:pStyle w:val="5"/>
        <w:spacing w:before="156"/>
        <w:ind w:firstLine="241"/>
      </w:pPr>
      <w:r>
        <w:rPr>
          <w:rFonts w:hint="eastAsia"/>
          <w:b/>
        </w:rPr>
        <w:t>3.</w:t>
      </w:r>
      <w:r>
        <w:rPr>
          <w:b/>
        </w:rPr>
        <w:t>3</w:t>
      </w:r>
      <w:r>
        <w:rPr>
          <w:rFonts w:hint="eastAsia"/>
          <w:b/>
        </w:rPr>
        <w:t>.1</w:t>
      </w:r>
      <w:r>
        <w:rPr>
          <w:rFonts w:hint="eastAsia"/>
        </w:rPr>
        <w:t>　锻锤基础采用的钢筋混凝土材料应符合现行国家标准《混凝土结构设计标准》GB 50010的相关规定。</w:t>
      </w:r>
    </w:p>
    <w:p w14:paraId="7FF6CD3E">
      <w:pPr>
        <w:pStyle w:val="5"/>
        <w:spacing w:before="156"/>
        <w:ind w:firstLine="241"/>
        <w:rPr>
          <w:b/>
        </w:rPr>
      </w:pPr>
      <w:r>
        <w:rPr>
          <w:rFonts w:hint="eastAsia"/>
          <w:b/>
        </w:rPr>
        <w:t>3.</w:t>
      </w:r>
      <w:r>
        <w:rPr>
          <w:b/>
        </w:rPr>
        <w:t>3</w:t>
      </w:r>
      <w:r>
        <w:rPr>
          <w:rFonts w:hint="eastAsia"/>
          <w:b/>
        </w:rPr>
        <w:t>.2</w:t>
      </w:r>
      <w:r>
        <w:rPr>
          <w:b/>
        </w:rPr>
        <w:t xml:space="preserve"> </w:t>
      </w:r>
      <w:r>
        <w:rPr>
          <w:rFonts w:hint="eastAsia"/>
        </w:rPr>
        <w:t>当锻锤基础位于地下水位较高或潮湿环境时，应采用防水混凝土，其设计抗渗等级应符合现行国家标准《建筑与市政工程防水通用规范》GB 55030的规定。</w:t>
      </w:r>
    </w:p>
    <w:p w14:paraId="71FE5953">
      <w:pPr>
        <w:pStyle w:val="5"/>
        <w:spacing w:before="156"/>
        <w:ind w:firstLine="241"/>
      </w:pPr>
      <w:r>
        <w:rPr>
          <w:rFonts w:hint="eastAsia"/>
          <w:b/>
        </w:rPr>
        <w:t>3.</w:t>
      </w:r>
      <w:r>
        <w:rPr>
          <w:b/>
        </w:rPr>
        <w:t>3</w:t>
      </w:r>
      <w:r>
        <w:rPr>
          <w:rFonts w:hint="eastAsia"/>
          <w:b/>
        </w:rPr>
        <w:t>.</w:t>
      </w:r>
      <w:r>
        <w:rPr>
          <w:b/>
        </w:rPr>
        <w:t xml:space="preserve">3 </w:t>
      </w:r>
      <w:r>
        <w:rPr>
          <w:rFonts w:hint="eastAsia"/>
        </w:rPr>
        <w:t>锻锤基础中的预埋件、支承结构等钢结构材料应符合现行国家标准《钢结构设计标准》GB 50017的规定。</w:t>
      </w:r>
    </w:p>
    <w:p w14:paraId="45E2C4AA">
      <w:pPr>
        <w:pStyle w:val="4"/>
        <w:spacing w:before="156"/>
      </w:pPr>
      <w:r>
        <w:rPr>
          <w:rFonts w:hint="eastAsia"/>
        </w:rPr>
        <w:t>3</w:t>
      </w:r>
      <w:r>
        <w:t xml:space="preserve">.4 </w:t>
      </w:r>
      <w:r>
        <w:rPr>
          <w:rFonts w:hint="eastAsia"/>
        </w:rPr>
        <w:t>基础方案</w:t>
      </w:r>
    </w:p>
    <w:p w14:paraId="07D36B81">
      <w:pPr>
        <w:pStyle w:val="5"/>
        <w:spacing w:before="156"/>
        <w:ind w:firstLine="241"/>
      </w:pPr>
      <w:r>
        <w:rPr>
          <w:rFonts w:hint="eastAsia"/>
          <w:b/>
        </w:rPr>
        <w:t>3.</w:t>
      </w:r>
      <w:r>
        <w:rPr>
          <w:b/>
        </w:rPr>
        <w:t>4</w:t>
      </w:r>
      <w:r>
        <w:rPr>
          <w:rFonts w:hint="eastAsia"/>
          <w:b/>
        </w:rPr>
        <w:t>.1</w:t>
      </w:r>
      <w:r>
        <w:rPr>
          <w:rFonts w:hint="eastAsia"/>
        </w:rPr>
        <w:t>　锻锤基础设计应根据防振要求选择对应的技术方案，以满足振动控制的要求。</w:t>
      </w:r>
    </w:p>
    <w:p w14:paraId="279F95D6">
      <w:pPr>
        <w:pStyle w:val="5"/>
        <w:spacing w:before="156"/>
        <w:ind w:firstLine="241"/>
      </w:pPr>
      <w:r>
        <w:rPr>
          <w:rFonts w:hint="eastAsia"/>
          <w:b/>
        </w:rPr>
        <w:t>3</w:t>
      </w:r>
      <w:r>
        <w:rPr>
          <w:b/>
        </w:rPr>
        <w:t>.4.2</w:t>
      </w:r>
      <w:r>
        <w:t xml:space="preserve"> </w:t>
      </w:r>
      <w:r>
        <w:rPr>
          <w:rFonts w:hint="eastAsia"/>
        </w:rPr>
        <w:t>锻锤基础包括刚性基础和隔振基础两类；其中隔振基础可分为直接隔振间基础和接隔振基础两种，如图3.4.2所示。</w:t>
      </w:r>
    </w:p>
    <w:p w14:paraId="52DB074F">
      <w:pPr>
        <w:pStyle w:val="39"/>
      </w:pPr>
      <w:r>
        <w:drawing>
          <wp:inline distT="0" distB="0" distL="0" distR="0">
            <wp:extent cx="5039995" cy="274637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040000" cy="2746800"/>
                    </a:xfrm>
                    <a:prstGeom prst="rect">
                      <a:avLst/>
                    </a:prstGeom>
                    <a:noFill/>
                  </pic:spPr>
                </pic:pic>
              </a:graphicData>
            </a:graphic>
          </wp:inline>
        </w:drawing>
      </w:r>
    </w:p>
    <w:p w14:paraId="09D76D7D">
      <w:pPr>
        <w:pStyle w:val="39"/>
      </w:pPr>
      <w:r>
        <w:rPr>
          <w:rFonts w:hint="eastAsia"/>
        </w:rPr>
        <w:t xml:space="preserve">（a）刚性基础 </w:t>
      </w:r>
      <w:r>
        <w:t xml:space="preserve">          </w:t>
      </w:r>
      <w:r>
        <w:rPr>
          <w:rFonts w:hint="eastAsia"/>
        </w:rPr>
        <w:t xml:space="preserve">（b）直接隔振 </w:t>
      </w:r>
      <w:r>
        <w:t xml:space="preserve">         </w:t>
      </w:r>
      <w:r>
        <w:rPr>
          <w:rFonts w:hint="eastAsia"/>
        </w:rPr>
        <w:t>（c）间接隔振</w:t>
      </w:r>
    </w:p>
    <w:p w14:paraId="288FFC33">
      <w:pPr>
        <w:pStyle w:val="39"/>
      </w:pPr>
      <w:r>
        <w:rPr>
          <w:rFonts w:hint="eastAsia"/>
        </w:rPr>
        <w:t>图3</w:t>
      </w:r>
      <w:r>
        <w:t>.4.</w:t>
      </w:r>
      <w:r>
        <w:rPr>
          <w:rFonts w:hint="eastAsia"/>
        </w:rPr>
        <w:t>2</w:t>
      </w:r>
      <w:r>
        <w:t xml:space="preserve"> </w:t>
      </w:r>
      <w:r>
        <w:rPr>
          <w:rFonts w:hint="eastAsia"/>
        </w:rPr>
        <w:t>锻锤基础方案</w:t>
      </w:r>
    </w:p>
    <w:p w14:paraId="20FA0140">
      <w:pPr>
        <w:pStyle w:val="5"/>
        <w:spacing w:before="156"/>
        <w:ind w:firstLine="241"/>
      </w:pPr>
      <w:r>
        <w:rPr>
          <w:rFonts w:hint="eastAsia"/>
          <w:b/>
        </w:rPr>
        <w:t>3</w:t>
      </w:r>
      <w:r>
        <w:rPr>
          <w:b/>
        </w:rPr>
        <w:t>.4.3</w:t>
      </w:r>
      <w:r>
        <w:rPr>
          <w:rFonts w:hint="eastAsia"/>
        </w:rPr>
        <w:t>锻锤隔振基础方案应根据防振要求的选择，锻锤基础设计方案宜按下表的规定选取。</w:t>
      </w:r>
    </w:p>
    <w:p w14:paraId="31E2D1A9">
      <w:pPr>
        <w:pStyle w:val="39"/>
      </w:pPr>
      <w:r>
        <w:rPr>
          <w:rFonts w:hint="eastAsia"/>
        </w:rPr>
        <w:t>表3.4.3</w:t>
      </w:r>
      <w:r>
        <w:t xml:space="preserve"> </w:t>
      </w:r>
      <w:r>
        <w:rPr>
          <w:rFonts w:hint="eastAsia"/>
        </w:rPr>
        <w:t>锻锤基础方案</w:t>
      </w:r>
    </w:p>
    <w:tbl>
      <w:tblPr>
        <w:tblStyle w:val="32"/>
        <w:tblW w:w="86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71"/>
        <w:gridCol w:w="1418"/>
        <w:gridCol w:w="3118"/>
        <w:gridCol w:w="1701"/>
        <w:gridCol w:w="1160"/>
      </w:tblGrid>
      <w:tr w14:paraId="3082F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1" w:type="dxa"/>
            <w:vAlign w:val="center"/>
          </w:tcPr>
          <w:p w14:paraId="323EF72F">
            <w:pPr>
              <w:pStyle w:val="39"/>
            </w:pPr>
            <w:r>
              <w:rPr>
                <w:rFonts w:hint="eastAsia"/>
              </w:rPr>
              <w:t>隔振类型</w:t>
            </w:r>
          </w:p>
        </w:tc>
        <w:tc>
          <w:tcPr>
            <w:tcW w:w="1418" w:type="dxa"/>
            <w:vAlign w:val="center"/>
          </w:tcPr>
          <w:p w14:paraId="349D8DEE">
            <w:pPr>
              <w:pStyle w:val="39"/>
            </w:pPr>
            <w:r>
              <w:rPr>
                <w:rFonts w:hint="eastAsia"/>
              </w:rPr>
              <w:t>基础方案</w:t>
            </w:r>
          </w:p>
        </w:tc>
        <w:tc>
          <w:tcPr>
            <w:tcW w:w="3118" w:type="dxa"/>
            <w:vAlign w:val="center"/>
          </w:tcPr>
          <w:p w14:paraId="1B5AC4B8">
            <w:pPr>
              <w:pStyle w:val="39"/>
            </w:pPr>
            <w:r>
              <w:rPr>
                <w:rFonts w:hint="eastAsia"/>
              </w:rPr>
              <w:t>结构形式</w:t>
            </w:r>
          </w:p>
        </w:tc>
        <w:tc>
          <w:tcPr>
            <w:tcW w:w="1701" w:type="dxa"/>
            <w:vAlign w:val="center"/>
          </w:tcPr>
          <w:p w14:paraId="608D6A52">
            <w:pPr>
              <w:pStyle w:val="39"/>
            </w:pPr>
            <w:r>
              <w:rPr>
                <w:rFonts w:hint="eastAsia"/>
              </w:rPr>
              <w:t>示意图</w:t>
            </w:r>
          </w:p>
        </w:tc>
        <w:tc>
          <w:tcPr>
            <w:tcW w:w="1160" w:type="dxa"/>
            <w:vAlign w:val="center"/>
          </w:tcPr>
          <w:p w14:paraId="043997D8">
            <w:pPr>
              <w:pStyle w:val="39"/>
            </w:pPr>
            <w:r>
              <w:rPr>
                <w:rFonts w:hint="eastAsia"/>
              </w:rPr>
              <w:t>防振要求</w:t>
            </w:r>
          </w:p>
        </w:tc>
      </w:tr>
      <w:tr w14:paraId="1B5C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1" w:type="dxa"/>
            <w:vAlign w:val="center"/>
          </w:tcPr>
          <w:p w14:paraId="2BD11A2E">
            <w:pPr>
              <w:pStyle w:val="39"/>
            </w:pPr>
            <w:r>
              <w:rPr>
                <w:rFonts w:hint="eastAsia"/>
              </w:rPr>
              <w:t>非隔振</w:t>
            </w:r>
          </w:p>
        </w:tc>
        <w:tc>
          <w:tcPr>
            <w:tcW w:w="1418" w:type="dxa"/>
            <w:vAlign w:val="center"/>
          </w:tcPr>
          <w:p w14:paraId="0FE61F18">
            <w:pPr>
              <w:pStyle w:val="39"/>
            </w:pPr>
            <w:r>
              <w:rPr>
                <w:rFonts w:hint="eastAsia"/>
              </w:rPr>
              <w:t>刚性基础</w:t>
            </w:r>
          </w:p>
        </w:tc>
        <w:tc>
          <w:tcPr>
            <w:tcW w:w="3118" w:type="dxa"/>
            <w:vAlign w:val="center"/>
          </w:tcPr>
          <w:p w14:paraId="0A43A108">
            <w:pPr>
              <w:pStyle w:val="39"/>
            </w:pPr>
            <w:r>
              <w:rPr>
                <w:rFonts w:hint="eastAsia"/>
              </w:rPr>
              <w:t>大块式混凝土</w:t>
            </w:r>
          </w:p>
        </w:tc>
        <w:tc>
          <w:tcPr>
            <w:tcW w:w="1701" w:type="dxa"/>
            <w:vAlign w:val="center"/>
          </w:tcPr>
          <w:p w14:paraId="7DBCA0E3">
            <w:pPr>
              <w:pStyle w:val="39"/>
            </w:pPr>
            <w:r>
              <w:rPr>
                <w:rFonts w:hint="eastAsia"/>
              </w:rPr>
              <w:t>图3</w:t>
            </w:r>
            <w:r>
              <w:t>.4.</w:t>
            </w:r>
            <w:r>
              <w:rPr>
                <w:rFonts w:hint="eastAsia"/>
              </w:rPr>
              <w:t>2（a</w:t>
            </w:r>
            <w:r>
              <w:t>）</w:t>
            </w:r>
          </w:p>
        </w:tc>
        <w:tc>
          <w:tcPr>
            <w:tcW w:w="1160" w:type="dxa"/>
            <w:vAlign w:val="center"/>
          </w:tcPr>
          <w:p w14:paraId="5F85640E">
            <w:pPr>
              <w:pStyle w:val="39"/>
            </w:pPr>
            <w:r>
              <w:rPr>
                <w:rFonts w:hint="eastAsia"/>
              </w:rPr>
              <w:t>低</w:t>
            </w:r>
          </w:p>
        </w:tc>
      </w:tr>
      <w:tr w14:paraId="6E3E1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1" w:type="dxa"/>
            <w:vAlign w:val="center"/>
          </w:tcPr>
          <w:p w14:paraId="4086A7D6">
            <w:pPr>
              <w:pStyle w:val="39"/>
            </w:pPr>
            <w:r>
              <w:rPr>
                <w:rFonts w:hint="eastAsia"/>
              </w:rPr>
              <w:t>隔振</w:t>
            </w:r>
          </w:p>
        </w:tc>
        <w:tc>
          <w:tcPr>
            <w:tcW w:w="1418" w:type="dxa"/>
            <w:vAlign w:val="center"/>
          </w:tcPr>
          <w:p w14:paraId="08E18E58">
            <w:pPr>
              <w:pStyle w:val="39"/>
            </w:pPr>
            <w:r>
              <w:rPr>
                <w:rFonts w:hint="eastAsia"/>
              </w:rPr>
              <w:t>直接隔振</w:t>
            </w:r>
          </w:p>
        </w:tc>
        <w:tc>
          <w:tcPr>
            <w:tcW w:w="3118" w:type="dxa"/>
            <w:vAlign w:val="center"/>
          </w:tcPr>
          <w:p w14:paraId="501E7207">
            <w:pPr>
              <w:pStyle w:val="39"/>
            </w:pPr>
            <w:r>
              <w:rPr>
                <w:rFonts w:hint="eastAsia"/>
              </w:rPr>
              <w:t>锻锤+隔振器+基础</w:t>
            </w:r>
          </w:p>
        </w:tc>
        <w:tc>
          <w:tcPr>
            <w:tcW w:w="1701" w:type="dxa"/>
            <w:vAlign w:val="center"/>
          </w:tcPr>
          <w:p w14:paraId="4E4C45A1">
            <w:pPr>
              <w:pStyle w:val="39"/>
            </w:pPr>
            <w:r>
              <w:rPr>
                <w:rFonts w:hint="eastAsia"/>
              </w:rPr>
              <w:t>图3</w:t>
            </w:r>
            <w:r>
              <w:t>.4</w:t>
            </w:r>
            <w:r>
              <w:rPr>
                <w:rFonts w:hint="eastAsia"/>
              </w:rPr>
              <w:t>.2（b）</w:t>
            </w:r>
          </w:p>
        </w:tc>
        <w:tc>
          <w:tcPr>
            <w:tcW w:w="1160" w:type="dxa"/>
            <w:vAlign w:val="center"/>
          </w:tcPr>
          <w:p w14:paraId="3B0948E4">
            <w:pPr>
              <w:pStyle w:val="39"/>
            </w:pPr>
            <w:r>
              <w:rPr>
                <w:rFonts w:hint="eastAsia"/>
              </w:rPr>
              <w:t>中</w:t>
            </w:r>
          </w:p>
        </w:tc>
      </w:tr>
      <w:tr w14:paraId="4B26C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1" w:type="dxa"/>
            <w:vAlign w:val="center"/>
          </w:tcPr>
          <w:p w14:paraId="6019A6C0">
            <w:pPr>
              <w:pStyle w:val="39"/>
            </w:pPr>
            <w:r>
              <w:rPr>
                <w:rFonts w:hint="eastAsia"/>
              </w:rPr>
              <w:t>隔振</w:t>
            </w:r>
          </w:p>
        </w:tc>
        <w:tc>
          <w:tcPr>
            <w:tcW w:w="1418" w:type="dxa"/>
            <w:vAlign w:val="center"/>
          </w:tcPr>
          <w:p w14:paraId="531F0950">
            <w:pPr>
              <w:pStyle w:val="39"/>
            </w:pPr>
            <w:r>
              <w:rPr>
                <w:rFonts w:hint="eastAsia"/>
              </w:rPr>
              <w:t>间接隔振</w:t>
            </w:r>
          </w:p>
        </w:tc>
        <w:tc>
          <w:tcPr>
            <w:tcW w:w="3118" w:type="dxa"/>
            <w:vAlign w:val="center"/>
          </w:tcPr>
          <w:p w14:paraId="68B51BAD">
            <w:pPr>
              <w:pStyle w:val="39"/>
            </w:pPr>
            <w:r>
              <w:rPr>
                <w:rFonts w:hint="eastAsia"/>
              </w:rPr>
              <w:t>锻锤+配重块+隔振器+基坑</w:t>
            </w:r>
          </w:p>
        </w:tc>
        <w:tc>
          <w:tcPr>
            <w:tcW w:w="1701" w:type="dxa"/>
            <w:vAlign w:val="center"/>
          </w:tcPr>
          <w:p w14:paraId="36919D0B">
            <w:pPr>
              <w:pStyle w:val="39"/>
            </w:pPr>
            <w:r>
              <w:rPr>
                <w:rFonts w:hint="eastAsia"/>
              </w:rPr>
              <w:t>图3</w:t>
            </w:r>
            <w:r>
              <w:t>.4.</w:t>
            </w:r>
            <w:r>
              <w:rPr>
                <w:rFonts w:hint="eastAsia"/>
              </w:rPr>
              <w:t>2（c）</w:t>
            </w:r>
          </w:p>
        </w:tc>
        <w:tc>
          <w:tcPr>
            <w:tcW w:w="1160" w:type="dxa"/>
            <w:vAlign w:val="center"/>
          </w:tcPr>
          <w:p w14:paraId="06F39EFB">
            <w:pPr>
              <w:pStyle w:val="39"/>
            </w:pPr>
            <w:r>
              <w:rPr>
                <w:rFonts w:hint="eastAsia"/>
              </w:rPr>
              <w:t>高</w:t>
            </w:r>
          </w:p>
        </w:tc>
      </w:tr>
    </w:tbl>
    <w:p w14:paraId="1C1FB059">
      <w:pPr>
        <w:pStyle w:val="39"/>
      </w:pPr>
    </w:p>
    <w:p w14:paraId="14508017">
      <w:pPr>
        <w:pStyle w:val="4"/>
        <w:spacing w:before="156"/>
      </w:pPr>
      <w:r>
        <w:rPr>
          <w:rFonts w:hint="eastAsia"/>
        </w:rPr>
        <w:t>3</w:t>
      </w:r>
      <w:r>
        <w:t xml:space="preserve">.5 </w:t>
      </w:r>
      <w:r>
        <w:rPr>
          <w:rFonts w:hint="eastAsia"/>
        </w:rPr>
        <w:t>容许振动标准</w:t>
      </w:r>
    </w:p>
    <w:p w14:paraId="7B737733">
      <w:pPr>
        <w:spacing w:before="156"/>
        <w:ind w:firstLine="482"/>
        <w:rPr>
          <w:b/>
        </w:rPr>
      </w:pPr>
      <w:r>
        <w:rPr>
          <w:b/>
          <w:szCs w:val="24"/>
        </w:rPr>
        <w:t>3.5.1</w:t>
      </w:r>
      <w:r>
        <w:rPr>
          <w:b/>
        </w:rPr>
        <w:t xml:space="preserve"> </w:t>
      </w:r>
      <w:bookmarkStart w:id="5" w:name="OLE_LINK27"/>
      <w:r>
        <w:rPr>
          <w:b/>
        </w:rPr>
        <w:t>建筑工程的振动控制应符合下式规定：</w:t>
      </w:r>
    </w:p>
    <w:p w14:paraId="17B0E86D">
      <w:pPr>
        <w:spacing w:before="156"/>
        <w:ind w:firstLine="482"/>
        <w:jc w:val="right"/>
        <w:rPr>
          <w:b/>
        </w:rPr>
      </w:pPr>
      <m:oMath>
        <m:sSub>
          <m:sSubPr>
            <m:ctrlPr>
              <w:rPr>
                <w:rFonts w:ascii="Cambria Math" w:hAnsi="Cambria Math"/>
                <w:b/>
              </w:rPr>
            </m:ctrlPr>
          </m:sSubPr>
          <m:e>
            <m:r>
              <m:rPr>
                <m:sty m:val="bi"/>
              </m:rPr>
              <w:rPr>
                <w:rFonts w:ascii="Cambria Math" w:hAnsi="Cambria Math"/>
              </w:rPr>
              <m:t>S</m:t>
            </m:r>
            <m:ctrlPr>
              <w:rPr>
                <w:rFonts w:ascii="Cambria Math" w:hAnsi="Cambria Math"/>
                <w:b/>
              </w:rPr>
            </m:ctrlPr>
          </m:e>
          <m:sub>
            <m:r>
              <m:rPr>
                <m:sty m:val="bi"/>
              </m:rPr>
              <w:rPr>
                <w:rFonts w:ascii="Cambria Math" w:hAnsi="Cambria Math"/>
              </w:rPr>
              <m:t>v</m:t>
            </m:r>
            <m:ctrlPr>
              <w:rPr>
                <w:rFonts w:ascii="Cambria Math" w:hAnsi="Cambria Math"/>
                <w:b/>
              </w:rPr>
            </m:ctrlP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C</m:t>
            </m:r>
            <m:ctrlPr>
              <w:rPr>
                <w:rFonts w:ascii="Cambria Math" w:hAnsi="Cambria Math"/>
                <w:b/>
              </w:rPr>
            </m:ctrlPr>
          </m:e>
          <m:sub>
            <m:r>
              <m:rPr>
                <m:sty m:val="bi"/>
              </m:rPr>
              <w:rPr>
                <w:rFonts w:ascii="Cambria Math" w:hAnsi="Cambria Math"/>
              </w:rPr>
              <m:t>v</m:t>
            </m:r>
            <m:ctrlPr>
              <w:rPr>
                <w:rFonts w:ascii="Cambria Math" w:hAnsi="Cambria Math"/>
                <w:b/>
              </w:rPr>
            </m:ctrlPr>
          </m:sub>
        </m:sSub>
      </m:oMath>
      <w:r>
        <w:rPr>
          <w:b/>
        </w:rPr>
        <w:t xml:space="preserve">                           （3.5.1）</w:t>
      </w:r>
    </w:p>
    <w:p w14:paraId="78D14BAD">
      <w:pPr>
        <w:spacing w:before="156"/>
        <w:ind w:firstLine="482"/>
        <w:rPr>
          <w:b/>
        </w:rPr>
      </w:pPr>
      <w:r>
        <w:rPr>
          <w:b/>
        </w:rPr>
        <w:t>式中：</w:t>
      </w:r>
      <m:oMath>
        <m:sSub>
          <m:sSubPr>
            <m:ctrlPr>
              <w:rPr>
                <w:rFonts w:ascii="Cambria Math" w:hAnsi="Cambria Math"/>
                <w:b/>
              </w:rPr>
            </m:ctrlPr>
          </m:sSubPr>
          <m:e>
            <m:r>
              <m:rPr>
                <m:sty m:val="bi"/>
              </m:rPr>
              <w:rPr>
                <w:rFonts w:ascii="Cambria Math" w:hAnsi="Cambria Math"/>
              </w:rPr>
              <m:t>S</m:t>
            </m:r>
            <m:ctrlPr>
              <w:rPr>
                <w:rFonts w:ascii="Cambria Math" w:hAnsi="Cambria Math"/>
                <w:b/>
              </w:rPr>
            </m:ctrlPr>
          </m:e>
          <m:sub>
            <m:r>
              <m:rPr>
                <m:sty m:val="bi"/>
              </m:rPr>
              <w:rPr>
                <w:rFonts w:ascii="Cambria Math" w:hAnsi="Cambria Math"/>
              </w:rPr>
              <m:t>v</m:t>
            </m:r>
            <m:ctrlPr>
              <w:rPr>
                <w:rFonts w:ascii="Cambria Math" w:hAnsi="Cambria Math"/>
                <w:b/>
              </w:rPr>
            </m:ctrlPr>
          </m:sub>
        </m:sSub>
      </m:oMath>
      <w:r>
        <w:rPr>
          <w:b/>
        </w:rPr>
        <w:t>——建筑工程计算分析或试验测试的</w:t>
      </w:r>
      <w:r>
        <w:rPr>
          <w:rFonts w:hint="eastAsia"/>
          <w:b/>
        </w:rPr>
        <w:t>振动</w:t>
      </w:r>
      <w:r>
        <w:rPr>
          <w:b/>
        </w:rPr>
        <w:t>控制点</w:t>
      </w:r>
      <w:r>
        <w:rPr>
          <w:rFonts w:hint="eastAsia"/>
          <w:b/>
        </w:rPr>
        <w:t>的振动</w:t>
      </w:r>
      <w:r>
        <w:rPr>
          <w:b/>
        </w:rPr>
        <w:t>响应；</w:t>
      </w:r>
    </w:p>
    <w:p w14:paraId="105120E4">
      <w:pPr>
        <w:spacing w:before="156"/>
        <w:ind w:left="780" w:firstLine="482"/>
        <w:rPr>
          <w:b/>
        </w:rPr>
      </w:pPr>
      <m:oMath>
        <m:sSub>
          <m:sSubPr>
            <m:ctrlPr>
              <w:rPr>
                <w:rFonts w:ascii="Cambria Math" w:hAnsi="Cambria Math"/>
                <w:b/>
              </w:rPr>
            </m:ctrlPr>
          </m:sSubPr>
          <m:e>
            <m:r>
              <m:rPr>
                <m:sty m:val="bi"/>
              </m:rPr>
              <w:rPr>
                <w:rFonts w:ascii="Cambria Math" w:hAnsi="Cambria Math"/>
              </w:rPr>
              <m:t>C</m:t>
            </m:r>
            <m:ctrlPr>
              <w:rPr>
                <w:rFonts w:ascii="Cambria Math" w:hAnsi="Cambria Math"/>
                <w:b/>
              </w:rPr>
            </m:ctrlPr>
          </m:e>
          <m:sub>
            <m:r>
              <m:rPr>
                <m:sty m:val="bi"/>
              </m:rPr>
              <w:rPr>
                <w:rFonts w:ascii="Cambria Math" w:hAnsi="Cambria Math"/>
              </w:rPr>
              <m:t>v</m:t>
            </m:r>
            <m:ctrlPr>
              <w:rPr>
                <w:rFonts w:ascii="Cambria Math" w:hAnsi="Cambria Math"/>
                <w:b/>
              </w:rPr>
            </m:ctrlPr>
          </m:sub>
        </m:sSub>
      </m:oMath>
      <w:r>
        <w:rPr>
          <w:b/>
        </w:rPr>
        <w:t>——建筑工程振动控制点的容许振动标准。</w:t>
      </w:r>
    </w:p>
    <w:bookmarkEnd w:id="5"/>
    <w:p w14:paraId="136773D1">
      <w:pPr>
        <w:spacing w:before="156"/>
        <w:ind w:firstLine="480"/>
      </w:pPr>
      <w:r>
        <w:t>3.</w:t>
      </w:r>
      <w:r>
        <w:rPr>
          <w:rFonts w:hint="eastAsia"/>
        </w:rPr>
        <w:t>5</w:t>
      </w:r>
      <w:r>
        <w:t>.</w:t>
      </w:r>
      <w:r>
        <w:rPr>
          <w:rFonts w:hint="eastAsia"/>
        </w:rPr>
        <w:t>2</w:t>
      </w:r>
      <w:r>
        <w:t xml:space="preserve"> 建筑工程振动控制时，精密仪器设备和动力机器</w:t>
      </w:r>
      <w:r>
        <w:rPr>
          <w:rFonts w:hint="eastAsia"/>
        </w:rPr>
        <w:t>基础</w:t>
      </w:r>
      <w:r>
        <w:t>的容许振动标准</w:t>
      </w:r>
      <w:r>
        <w:rPr>
          <w:rFonts w:hint="eastAsia"/>
        </w:rPr>
        <w:t>宜</w:t>
      </w:r>
      <w:r>
        <w:t>由设备制造厂提供或通过试验确定；当设备制造厂不能提供</w:t>
      </w:r>
      <w:r>
        <w:rPr>
          <w:rFonts w:hint="eastAsia"/>
        </w:rPr>
        <w:t>且</w:t>
      </w:r>
      <w:r>
        <w:t>无法通过试验确定时，应符合</w:t>
      </w:r>
      <w:r>
        <w:rPr>
          <w:rFonts w:hint="eastAsia"/>
        </w:rPr>
        <w:t>本</w:t>
      </w:r>
      <w:r>
        <w:t>标准的规定。</w:t>
      </w:r>
    </w:p>
    <w:p w14:paraId="582C3EA1">
      <w:pPr>
        <w:spacing w:before="156"/>
        <w:ind w:firstLine="480"/>
      </w:pPr>
      <w:r>
        <w:rPr>
          <w:rFonts w:hint="eastAsia"/>
        </w:rPr>
        <w:t>3.5.3</w:t>
      </w:r>
      <w:r>
        <w:t xml:space="preserve"> </w:t>
      </w:r>
      <w:r>
        <w:rPr>
          <w:rFonts w:hint="eastAsia"/>
        </w:rPr>
        <w:t>锻锤基础容许振动应按下列规定确定：</w:t>
      </w:r>
    </w:p>
    <w:p w14:paraId="6CCCAABF">
      <w:pPr>
        <w:keepNext w:val="0"/>
        <w:keepLines w:val="0"/>
        <w:spacing w:before="156" w:after="48"/>
        <w:ind w:firstLine="480"/>
      </w:pPr>
      <w:r>
        <w:rPr>
          <w:rFonts w:hint="eastAsia"/>
        </w:rPr>
        <w:t>（1）不隔振刚性基础的容许振动标准宜符合下表规定：</w:t>
      </w:r>
    </w:p>
    <w:p w14:paraId="02BF5647">
      <w:pPr>
        <w:pStyle w:val="39"/>
      </w:pPr>
      <w:r>
        <w:rPr>
          <w:rFonts w:hint="eastAsia"/>
        </w:rPr>
        <w:t xml:space="preserve">表3.5.3-1 </w:t>
      </w:r>
      <w:r>
        <w:t xml:space="preserve"> </w:t>
      </w:r>
      <w:r>
        <w:rPr>
          <w:rFonts w:hint="eastAsia"/>
        </w:rPr>
        <w:t>不隔振刚性基础容许振动峰值</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701"/>
        <w:gridCol w:w="1701"/>
      </w:tblGrid>
      <w:tr w14:paraId="1FC9F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Mar>
              <w:left w:w="0" w:type="dxa"/>
              <w:right w:w="0" w:type="dxa"/>
            </w:tcMar>
            <w:vAlign w:val="center"/>
          </w:tcPr>
          <w:p w14:paraId="015DA30F">
            <w:pPr>
              <w:pStyle w:val="39"/>
            </w:pPr>
            <w:r>
              <w:rPr>
                <w:rFonts w:hint="eastAsia"/>
              </w:rPr>
              <w:t>锻锤类型</w:t>
            </w:r>
          </w:p>
        </w:tc>
        <w:tc>
          <w:tcPr>
            <w:tcW w:w="1701" w:type="dxa"/>
            <w:tcMar>
              <w:left w:w="0" w:type="dxa"/>
              <w:right w:w="0" w:type="dxa"/>
            </w:tcMar>
            <w:vAlign w:val="center"/>
          </w:tcPr>
          <w:p w14:paraId="004531F3">
            <w:pPr>
              <w:pStyle w:val="39"/>
            </w:pPr>
            <w:r>
              <w:t>u(mm)</w:t>
            </w:r>
          </w:p>
        </w:tc>
        <w:tc>
          <w:tcPr>
            <w:tcW w:w="1701" w:type="dxa"/>
            <w:tcMar>
              <w:left w:w="0" w:type="dxa"/>
              <w:right w:w="0" w:type="dxa"/>
            </w:tcMar>
            <w:vAlign w:val="center"/>
          </w:tcPr>
          <w:p w14:paraId="7999E3ED">
            <w:pPr>
              <w:pStyle w:val="39"/>
            </w:pPr>
            <w:r>
              <w:t>a(m/s</w:t>
            </w:r>
            <w:r>
              <w:rPr>
                <w:vertAlign w:val="superscript"/>
              </w:rPr>
              <w:t>2</w:t>
            </w:r>
            <w:r>
              <w:t>)</w:t>
            </w:r>
          </w:p>
        </w:tc>
      </w:tr>
      <w:tr w14:paraId="50FA0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Mar>
              <w:left w:w="0" w:type="dxa"/>
              <w:right w:w="0" w:type="dxa"/>
            </w:tcMar>
            <w:vAlign w:val="center"/>
          </w:tcPr>
          <w:p w14:paraId="21584587">
            <w:pPr>
              <w:pStyle w:val="39"/>
            </w:pPr>
            <w:r>
              <w:rPr>
                <w:rFonts w:hint="eastAsia"/>
              </w:rPr>
              <w:t>模锻</w:t>
            </w:r>
          </w:p>
        </w:tc>
        <w:tc>
          <w:tcPr>
            <w:tcW w:w="1701" w:type="dxa"/>
            <w:tcMar>
              <w:left w:w="0" w:type="dxa"/>
              <w:right w:w="0" w:type="dxa"/>
            </w:tcMar>
            <w:vAlign w:val="center"/>
          </w:tcPr>
          <w:p w14:paraId="52700D3B">
            <w:pPr>
              <w:pStyle w:val="39"/>
            </w:pPr>
            <w:r>
              <w:rPr>
                <w:rFonts w:hint="eastAsia"/>
              </w:rPr>
              <w:t>1</w:t>
            </w:r>
            <w:r>
              <w:t>.0</w:t>
            </w:r>
          </w:p>
        </w:tc>
        <w:tc>
          <w:tcPr>
            <w:tcW w:w="1701" w:type="dxa"/>
            <w:tcMar>
              <w:left w:w="0" w:type="dxa"/>
              <w:right w:w="0" w:type="dxa"/>
            </w:tcMar>
            <w:vAlign w:val="center"/>
          </w:tcPr>
          <w:p w14:paraId="2FB86B53">
            <w:pPr>
              <w:pStyle w:val="39"/>
            </w:pPr>
            <w:r>
              <w:rPr>
                <w:rFonts w:hint="eastAsia"/>
              </w:rPr>
              <w:t>1</w:t>
            </w:r>
            <w:r>
              <w:t>2</w:t>
            </w:r>
          </w:p>
        </w:tc>
      </w:tr>
      <w:tr w14:paraId="704D6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Mar>
              <w:left w:w="0" w:type="dxa"/>
              <w:right w:w="0" w:type="dxa"/>
            </w:tcMar>
            <w:vAlign w:val="center"/>
          </w:tcPr>
          <w:p w14:paraId="2429764E">
            <w:pPr>
              <w:pStyle w:val="39"/>
            </w:pPr>
            <w:r>
              <w:rPr>
                <w:rFonts w:hint="eastAsia"/>
              </w:rPr>
              <w:t>自由锻</w:t>
            </w:r>
          </w:p>
        </w:tc>
        <w:tc>
          <w:tcPr>
            <w:tcW w:w="1701" w:type="dxa"/>
            <w:tcMar>
              <w:left w:w="0" w:type="dxa"/>
              <w:right w:w="0" w:type="dxa"/>
            </w:tcMar>
            <w:vAlign w:val="center"/>
          </w:tcPr>
          <w:p w14:paraId="65AC61CE">
            <w:pPr>
              <w:pStyle w:val="39"/>
            </w:pPr>
            <w:r>
              <w:rPr>
                <w:rFonts w:hint="eastAsia"/>
              </w:rPr>
              <w:t>0</w:t>
            </w:r>
            <w:r>
              <w:t>.8</w:t>
            </w:r>
          </w:p>
        </w:tc>
        <w:tc>
          <w:tcPr>
            <w:tcW w:w="1701" w:type="dxa"/>
            <w:tcMar>
              <w:left w:w="0" w:type="dxa"/>
              <w:right w:w="0" w:type="dxa"/>
            </w:tcMar>
            <w:vAlign w:val="center"/>
          </w:tcPr>
          <w:p w14:paraId="21310304">
            <w:pPr>
              <w:pStyle w:val="39"/>
            </w:pPr>
            <w:r>
              <w:rPr>
                <w:rFonts w:hint="eastAsia"/>
              </w:rPr>
              <w:t>1</w:t>
            </w:r>
            <w:r>
              <w:t>0</w:t>
            </w:r>
          </w:p>
        </w:tc>
      </w:tr>
    </w:tbl>
    <w:p w14:paraId="64AECB3E">
      <w:pPr>
        <w:keepNext w:val="0"/>
        <w:keepLines w:val="0"/>
        <w:spacing w:before="156"/>
        <w:ind w:firstLine="480"/>
      </w:pPr>
      <w:r>
        <w:rPr>
          <w:rFonts w:hint="eastAsia"/>
        </w:rPr>
        <w:t>（2）隔振基础下部基坑的容许振动标准宜符合下表规定：</w:t>
      </w:r>
    </w:p>
    <w:p w14:paraId="20B7F426">
      <w:pPr>
        <w:pStyle w:val="39"/>
      </w:pPr>
      <w:r>
        <w:rPr>
          <w:rFonts w:hint="eastAsia"/>
        </w:rPr>
        <w:t xml:space="preserve">表3.5.3-2 </w:t>
      </w:r>
      <w:r>
        <w:t xml:space="preserve"> </w:t>
      </w:r>
      <w:r>
        <w:rPr>
          <w:rFonts w:hint="eastAsia"/>
        </w:rPr>
        <w:t>隔振基础下部基坑的容许振动峰值</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701"/>
        <w:gridCol w:w="1701"/>
      </w:tblGrid>
      <w:tr w14:paraId="71CB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Mar>
              <w:left w:w="0" w:type="dxa"/>
              <w:right w:w="0" w:type="dxa"/>
            </w:tcMar>
            <w:vAlign w:val="center"/>
          </w:tcPr>
          <w:p w14:paraId="4C1E1B7D">
            <w:pPr>
              <w:pStyle w:val="39"/>
            </w:pPr>
            <w:r>
              <w:rPr>
                <w:rFonts w:hint="eastAsia"/>
              </w:rPr>
              <w:t>锻锤类型</w:t>
            </w:r>
          </w:p>
        </w:tc>
        <w:tc>
          <w:tcPr>
            <w:tcW w:w="1701" w:type="dxa"/>
            <w:tcMar>
              <w:left w:w="0" w:type="dxa"/>
              <w:right w:w="0" w:type="dxa"/>
            </w:tcMar>
            <w:vAlign w:val="center"/>
          </w:tcPr>
          <w:p w14:paraId="3A116167">
            <w:pPr>
              <w:pStyle w:val="39"/>
            </w:pPr>
            <w:r>
              <w:t>u(mm)</w:t>
            </w:r>
          </w:p>
        </w:tc>
        <w:tc>
          <w:tcPr>
            <w:tcW w:w="1701" w:type="dxa"/>
            <w:tcMar>
              <w:left w:w="0" w:type="dxa"/>
              <w:right w:w="0" w:type="dxa"/>
            </w:tcMar>
            <w:vAlign w:val="center"/>
          </w:tcPr>
          <w:p w14:paraId="47D281D6">
            <w:pPr>
              <w:pStyle w:val="39"/>
            </w:pPr>
            <w:r>
              <w:t>a(m/s</w:t>
            </w:r>
            <w:r>
              <w:rPr>
                <w:vertAlign w:val="superscript"/>
              </w:rPr>
              <w:t>2</w:t>
            </w:r>
            <w:r>
              <w:t>)</w:t>
            </w:r>
          </w:p>
        </w:tc>
      </w:tr>
      <w:tr w14:paraId="25B22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Mar>
              <w:left w:w="0" w:type="dxa"/>
              <w:right w:w="0" w:type="dxa"/>
            </w:tcMar>
            <w:vAlign w:val="center"/>
          </w:tcPr>
          <w:p w14:paraId="32424925">
            <w:pPr>
              <w:pStyle w:val="39"/>
            </w:pPr>
            <w:r>
              <w:rPr>
                <w:rFonts w:hint="eastAsia"/>
              </w:rPr>
              <w:t>模锻</w:t>
            </w:r>
          </w:p>
        </w:tc>
        <w:tc>
          <w:tcPr>
            <w:tcW w:w="1701" w:type="dxa"/>
            <w:tcMar>
              <w:left w:w="0" w:type="dxa"/>
              <w:right w:w="0" w:type="dxa"/>
            </w:tcMar>
            <w:vAlign w:val="center"/>
          </w:tcPr>
          <w:p w14:paraId="33FCEF14">
            <w:pPr>
              <w:pStyle w:val="39"/>
            </w:pPr>
            <w:r>
              <w:rPr>
                <w:rFonts w:hint="eastAsia"/>
              </w:rPr>
              <w:t>0.2</w:t>
            </w:r>
          </w:p>
        </w:tc>
        <w:tc>
          <w:tcPr>
            <w:tcW w:w="1701" w:type="dxa"/>
            <w:tcMar>
              <w:left w:w="0" w:type="dxa"/>
              <w:right w:w="0" w:type="dxa"/>
            </w:tcMar>
            <w:vAlign w:val="center"/>
          </w:tcPr>
          <w:p w14:paraId="096C958E">
            <w:pPr>
              <w:pStyle w:val="39"/>
            </w:pPr>
            <w:r>
              <w:rPr>
                <w:rFonts w:hint="eastAsia"/>
              </w:rPr>
              <w:t>5</w:t>
            </w:r>
          </w:p>
        </w:tc>
      </w:tr>
      <w:tr w14:paraId="1A787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Mar>
              <w:left w:w="0" w:type="dxa"/>
              <w:right w:w="0" w:type="dxa"/>
            </w:tcMar>
            <w:vAlign w:val="center"/>
          </w:tcPr>
          <w:p w14:paraId="3D921BFC">
            <w:pPr>
              <w:pStyle w:val="39"/>
            </w:pPr>
            <w:r>
              <w:rPr>
                <w:rFonts w:hint="eastAsia"/>
              </w:rPr>
              <w:t>自由锻</w:t>
            </w:r>
          </w:p>
        </w:tc>
        <w:tc>
          <w:tcPr>
            <w:tcW w:w="1701" w:type="dxa"/>
            <w:tcMar>
              <w:left w:w="0" w:type="dxa"/>
              <w:right w:w="0" w:type="dxa"/>
            </w:tcMar>
            <w:vAlign w:val="center"/>
          </w:tcPr>
          <w:p w14:paraId="29486319">
            <w:pPr>
              <w:pStyle w:val="39"/>
            </w:pPr>
            <w:r>
              <w:rPr>
                <w:rFonts w:hint="eastAsia"/>
              </w:rPr>
              <w:t>0</w:t>
            </w:r>
            <w:r>
              <w:t>.</w:t>
            </w:r>
            <w:r>
              <w:rPr>
                <w:rFonts w:hint="eastAsia"/>
              </w:rPr>
              <w:t>15</w:t>
            </w:r>
          </w:p>
        </w:tc>
        <w:tc>
          <w:tcPr>
            <w:tcW w:w="1701" w:type="dxa"/>
            <w:tcMar>
              <w:left w:w="0" w:type="dxa"/>
              <w:right w:w="0" w:type="dxa"/>
            </w:tcMar>
            <w:vAlign w:val="center"/>
          </w:tcPr>
          <w:p w14:paraId="590E73AC">
            <w:pPr>
              <w:pStyle w:val="39"/>
            </w:pPr>
            <w:r>
              <w:rPr>
                <w:rFonts w:hint="eastAsia"/>
              </w:rPr>
              <w:t>4</w:t>
            </w:r>
          </w:p>
        </w:tc>
      </w:tr>
    </w:tbl>
    <w:p w14:paraId="12985613">
      <w:pPr>
        <w:spacing w:before="156"/>
        <w:ind w:firstLine="480"/>
      </w:pPr>
      <w:r>
        <w:rPr>
          <w:rFonts w:hint="eastAsia"/>
        </w:rPr>
        <w:t>（3）隔振基础隔振器上部的容许振动标准</w:t>
      </w:r>
      <w:r>
        <w:t>应</w:t>
      </w:r>
      <w:r>
        <w:rPr>
          <w:rFonts w:hint="eastAsia"/>
        </w:rPr>
        <w:t>符合</w:t>
      </w:r>
      <w:r>
        <w:t>现行国家标准《建筑工程容许振动标准》GB 50868的</w:t>
      </w:r>
      <w:r>
        <w:rPr>
          <w:rFonts w:hint="eastAsia"/>
        </w:rPr>
        <w:t>有关</w:t>
      </w:r>
      <w:r>
        <w:t>规定。</w:t>
      </w:r>
    </w:p>
    <w:p w14:paraId="3AE2BD4B">
      <w:pPr>
        <w:spacing w:before="156"/>
        <w:ind w:firstLine="482"/>
        <w:rPr>
          <w:b/>
          <w:bCs/>
        </w:rPr>
      </w:pPr>
      <w:r>
        <w:rPr>
          <w:rFonts w:hint="eastAsia"/>
          <w:b/>
          <w:bCs/>
        </w:rPr>
        <w:t>3.5.</w:t>
      </w:r>
      <w:bookmarkStart w:id="6" w:name="OLE_LINK57"/>
      <w:r>
        <w:rPr>
          <w:rFonts w:hint="eastAsia"/>
          <w:b/>
          <w:bCs/>
        </w:rPr>
        <w:t>3 容许振动标准应保证振动控制对象在设计工况下的正常工作，振动控制点应准确反映振动控制对象的振动响应特征。</w:t>
      </w:r>
    </w:p>
    <w:bookmarkEnd w:id="6"/>
    <w:p w14:paraId="47027EE7">
      <w:pPr>
        <w:spacing w:before="156"/>
        <w:ind w:firstLine="480"/>
        <w:rPr>
          <w:bCs/>
        </w:rPr>
      </w:pPr>
      <w:r>
        <w:rPr>
          <w:rFonts w:hint="eastAsia"/>
        </w:rPr>
        <w:t>3.5.2</w:t>
      </w:r>
      <w:r>
        <w:t xml:space="preserve">  </w:t>
      </w:r>
      <w:r>
        <w:rPr>
          <w:rFonts w:hint="eastAsia"/>
        </w:rPr>
        <w:t>锻锤基础设计时，锻锤设备</w:t>
      </w:r>
      <w:r>
        <w:t>振动荷载</w:t>
      </w:r>
      <w:r>
        <w:rPr>
          <w:rFonts w:hint="eastAsia"/>
        </w:rPr>
        <w:t>取值</w:t>
      </w:r>
      <w:r>
        <w:t>应</w:t>
      </w:r>
      <w:r>
        <w:rPr>
          <w:rFonts w:hint="eastAsia"/>
        </w:rPr>
        <w:t>符合</w:t>
      </w:r>
      <w:r>
        <w:t>现行国家标准《建筑振动荷载标准》GB/T 51228的</w:t>
      </w:r>
      <w:r>
        <w:rPr>
          <w:rFonts w:hint="eastAsia"/>
        </w:rPr>
        <w:t>有关</w:t>
      </w:r>
      <w:r>
        <w:t>规定。</w:t>
      </w:r>
    </w:p>
    <w:p w14:paraId="7DF956CF">
      <w:pPr>
        <w:spacing w:before="156" w:after="48"/>
        <w:ind w:firstLine="482"/>
      </w:pPr>
      <w:r>
        <w:rPr>
          <w:b/>
          <w:bCs/>
        </w:rPr>
        <w:t>3.</w:t>
      </w:r>
      <w:r>
        <w:rPr>
          <w:rFonts w:hint="eastAsia"/>
          <w:b/>
          <w:bCs/>
        </w:rPr>
        <w:t>5</w:t>
      </w:r>
      <w:r>
        <w:rPr>
          <w:b/>
          <w:bCs/>
        </w:rPr>
        <w:t>.</w:t>
      </w:r>
      <w:r>
        <w:rPr>
          <w:rFonts w:hint="eastAsia"/>
          <w:b/>
          <w:bCs/>
        </w:rPr>
        <w:t>5</w:t>
      </w:r>
      <w:r>
        <w:rPr>
          <w:b/>
          <w:bCs/>
        </w:rPr>
        <w:t xml:space="preserve"> </w:t>
      </w:r>
      <w:r>
        <w:t>本标准中昼间和夜间的时间</w:t>
      </w:r>
      <w:r>
        <w:rPr>
          <w:rFonts w:hint="eastAsia"/>
        </w:rPr>
        <w:t>划分</w:t>
      </w:r>
      <w:r>
        <w:t>应符合当地人民政府的有关规定。当无规定时，昼间宜取6时至22时，夜间宜取22时至次日6时。</w:t>
      </w:r>
    </w:p>
    <w:p w14:paraId="17CDABFA">
      <w:pPr>
        <w:spacing w:before="156" w:after="48"/>
        <w:ind w:firstLine="482"/>
        <w:rPr>
          <w:b/>
        </w:rPr>
      </w:pPr>
      <w:r>
        <w:rPr>
          <w:b/>
          <w:bCs/>
        </w:rPr>
        <w:t>3.</w:t>
      </w:r>
      <w:r>
        <w:rPr>
          <w:rFonts w:hint="eastAsia"/>
          <w:b/>
          <w:bCs/>
        </w:rPr>
        <w:t>5</w:t>
      </w:r>
      <w:r>
        <w:rPr>
          <w:b/>
          <w:bCs/>
        </w:rPr>
        <w:t>.</w:t>
      </w:r>
      <w:r>
        <w:rPr>
          <w:rFonts w:hint="eastAsia"/>
          <w:b/>
          <w:bCs/>
        </w:rPr>
        <w:t>6</w:t>
      </w:r>
      <w:r>
        <w:rPr>
          <w:b/>
          <w:bCs/>
        </w:rPr>
        <w:t xml:space="preserve"> </w:t>
      </w:r>
      <w:r>
        <w:rPr>
          <w:rFonts w:hint="eastAsia"/>
        </w:rPr>
        <w:t>锻锤基础设计尚应符合现行国家标准《建筑振动荷载标准》GB/T 51228、《动力机器基础设计标准》GB 50040的规定。</w:t>
      </w:r>
    </w:p>
    <w:p w14:paraId="7810ADFC">
      <w:pPr>
        <w:pStyle w:val="3"/>
      </w:pPr>
      <w:r>
        <w:t xml:space="preserve">4 </w:t>
      </w:r>
      <w:r>
        <w:rPr>
          <w:rFonts w:hint="eastAsia"/>
        </w:rPr>
        <w:t>地基动力特征参数</w:t>
      </w:r>
    </w:p>
    <w:p w14:paraId="32EFA72A">
      <w:pPr>
        <w:pStyle w:val="4"/>
        <w:spacing w:before="156"/>
      </w:pPr>
      <w:r>
        <w:t>4.1</w:t>
      </w:r>
      <w:r>
        <w:rPr>
          <w:rFonts w:hint="eastAsia"/>
        </w:rPr>
        <w:t>一般规定</w:t>
      </w:r>
    </w:p>
    <w:p w14:paraId="3669D849">
      <w:pPr>
        <w:spacing w:before="156"/>
        <w:ind w:firstLine="482"/>
      </w:pPr>
      <w:r>
        <w:rPr>
          <w:rFonts w:cs="Times New Roman"/>
          <w:b/>
          <w:bCs/>
          <w:szCs w:val="24"/>
        </w:rPr>
        <w:t>4.1.1</w:t>
      </w:r>
      <w:r>
        <w:t>　地基动力特征参数应包括下列内容：</w:t>
      </w:r>
      <w:r>
        <w:rPr>
          <w:rFonts w:hint="eastAsia"/>
        </w:rPr>
        <w:t>地基动力特征参数应包括地基刚度、地基阻尼比、基组的地基参振质量和测试模型的固有频率等。</w:t>
      </w:r>
    </w:p>
    <w:p w14:paraId="2F126217">
      <w:pPr>
        <w:spacing w:before="156"/>
        <w:ind w:firstLine="482"/>
        <w:rPr>
          <w:color w:val="000000" w:themeColor="text1"/>
          <w14:textFill>
            <w14:solidFill>
              <w14:schemeClr w14:val="tx1"/>
            </w14:solidFill>
          </w14:textFill>
        </w:rPr>
      </w:pPr>
      <w:r>
        <w:rPr>
          <w:rFonts w:cs="Times New Roman"/>
          <w:b/>
          <w:szCs w:val="24"/>
        </w:rPr>
        <w:t>4.</w:t>
      </w:r>
      <w:r>
        <w:rPr>
          <w:rFonts w:cs="Times New Roman"/>
          <w:b/>
          <w:color w:val="000000" w:themeColor="text1"/>
          <w:szCs w:val="24"/>
          <w14:textFill>
            <w14:solidFill>
              <w14:schemeClr w14:val="tx1"/>
            </w14:solidFill>
          </w14:textFill>
        </w:rPr>
        <w:t>1.2</w:t>
      </w:r>
      <w:r>
        <w:rPr>
          <w:rFonts w:cs="Times New Roman"/>
          <w:bCs/>
          <w:color w:val="000000" w:themeColor="text1"/>
          <w:szCs w:val="24"/>
          <w14:textFill>
            <w14:solidFill>
              <w14:schemeClr w14:val="tx1"/>
            </w14:solidFill>
          </w14:textFill>
        </w:rPr>
        <w:t>　</w:t>
      </w:r>
      <w:r>
        <w:rPr>
          <w:color w:val="000000" w:themeColor="text1"/>
          <w14:textFill>
            <w14:solidFill>
              <w14:schemeClr w14:val="tx1"/>
            </w14:solidFill>
          </w14:textFill>
        </w:rPr>
        <w:t>地基动力特征参数应优先通过原位动力试验确定，试验方法选择应符合下列原则：</w:t>
      </w:r>
    </w:p>
    <w:p w14:paraId="3052D555">
      <w:pPr>
        <w:spacing w:before="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 冲击型设备基础宜采用自由振动试验；</w:t>
      </w:r>
    </w:p>
    <w:p w14:paraId="1E2089C5">
      <w:pPr>
        <w:spacing w:before="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 复杂地层条件应进行波速测试以确定土体动力本构参数。</w:t>
      </w:r>
    </w:p>
    <w:p w14:paraId="7BA2860D">
      <w:pPr>
        <w:spacing w:before="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模型基础动力特性试验应按《地基动力特性测试规范》GB/T 50269执行，试验模型几何相似比不宜小于1:10。</w:t>
      </w:r>
    </w:p>
    <w:p w14:paraId="24FDA160">
      <w:pPr>
        <w:spacing w:before="156"/>
        <w:ind w:firstLine="482"/>
        <w:rPr>
          <w:rFonts w:ascii="Segoe UI" w:hAnsi="Segoe UI" w:cs="Segoe UI"/>
          <w:color w:val="000000" w:themeColor="text1"/>
          <w14:textFill>
            <w14:solidFill>
              <w14:schemeClr w14:val="tx1"/>
            </w14:solidFill>
          </w14:textFill>
        </w:rPr>
      </w:pPr>
      <w:r>
        <w:rPr>
          <w:rFonts w:cs="Times New Roman"/>
          <w:b/>
          <w:bCs/>
          <w:color w:val="000000" w:themeColor="text1"/>
          <w14:textFill>
            <w14:solidFill>
              <w14:schemeClr w14:val="tx1"/>
            </w14:solidFill>
          </w14:textFill>
        </w:rPr>
        <w:t>4.1.3</w:t>
      </w:r>
      <w:r>
        <w:rPr>
          <w:rFonts w:cs="Times New Roman"/>
          <w:b/>
          <w:color w:val="000000" w:themeColor="text1"/>
          <w14:textFill>
            <w14:solidFill>
              <w14:schemeClr w14:val="tx1"/>
            </w14:solidFill>
          </w14:textFill>
        </w:rPr>
        <w:t>　</w:t>
      </w:r>
      <w:r>
        <w:rPr>
          <w:rFonts w:hint="eastAsia" w:ascii="Segoe UI" w:hAnsi="Segoe UI" w:cs="Segoe UI"/>
          <w:color w:val="000000" w:themeColor="text1"/>
          <w14:textFill>
            <w14:solidFill>
              <w14:schemeClr w14:val="tx1"/>
            </w14:solidFill>
          </w14:textFill>
        </w:rPr>
        <w:t>当地基动力特征参数无法由现场测试得到时，除天然地基抗压刚度系数和桩基刚度系数外，其他地基动力特征参数应按现行国家标准《动力机器基础设计标准</w:t>
      </w:r>
      <w:r>
        <w:rPr>
          <w:rFonts w:cs="Times New Roman"/>
          <w:color w:val="000000" w:themeColor="text1"/>
          <w14:textFill>
            <w14:solidFill>
              <w14:schemeClr w14:val="tx1"/>
            </w14:solidFill>
          </w14:textFill>
        </w:rPr>
        <w:t>》GB 50040的有关规定确定。</w:t>
      </w:r>
    </w:p>
    <w:p w14:paraId="2EECD199">
      <w:pPr>
        <w:pStyle w:val="4"/>
        <w:spacing w:before="156"/>
      </w:pPr>
      <w:r>
        <w:t xml:space="preserve">4.2 </w:t>
      </w:r>
      <w:r>
        <w:rPr>
          <w:rFonts w:hint="eastAsia"/>
        </w:rPr>
        <w:t>地基土分类</w:t>
      </w:r>
    </w:p>
    <w:p w14:paraId="611E3759">
      <w:pPr>
        <w:overflowPunct w:val="0"/>
        <w:topLinePunct/>
        <w:spacing w:before="156" w:after="156" w:afterLines="50" w:line="312" w:lineRule="auto"/>
        <w:ind w:firstLine="482"/>
        <w:rPr>
          <w:rFonts w:cs="Times New Roman"/>
          <w:szCs w:val="24"/>
        </w:rPr>
      </w:pPr>
      <w:r>
        <w:rPr>
          <w:rFonts w:cs="Times New Roman"/>
          <w:b/>
          <w:szCs w:val="24"/>
        </w:rPr>
        <w:t>4.2</w:t>
      </w:r>
      <w:r>
        <w:rPr>
          <w:rFonts w:hint="eastAsia" w:cs="Times New Roman"/>
          <w:b/>
          <w:szCs w:val="24"/>
        </w:rPr>
        <w:t>.</w:t>
      </w:r>
      <w:r>
        <w:rPr>
          <w:rFonts w:cs="Times New Roman"/>
          <w:b/>
          <w:szCs w:val="24"/>
        </w:rPr>
        <w:t xml:space="preserve">1 </w:t>
      </w:r>
      <w:r>
        <w:rPr>
          <w:rFonts w:cs="Times New Roman"/>
          <w:szCs w:val="24"/>
        </w:rPr>
        <w:t>天然地基的</w:t>
      </w:r>
      <w:r>
        <w:rPr>
          <w:rFonts w:hint="eastAsia" w:cs="Times New Roman"/>
          <w:szCs w:val="24"/>
        </w:rPr>
        <w:t>地基基础承载力计算和振动响应评价时</w:t>
      </w:r>
      <w:r>
        <w:rPr>
          <w:rFonts w:cs="Times New Roman"/>
          <w:szCs w:val="24"/>
        </w:rPr>
        <w:t>，应根据地基土类别</w:t>
      </w:r>
      <w:r>
        <w:rPr>
          <w:rFonts w:hint="eastAsia" w:cs="Times New Roman"/>
          <w:szCs w:val="24"/>
        </w:rPr>
        <w:t>对应的系数和指标，分别进行修正和评价</w:t>
      </w:r>
      <w:r>
        <w:rPr>
          <w:rFonts w:cs="Times New Roman"/>
          <w:szCs w:val="24"/>
        </w:rPr>
        <w:t>。</w:t>
      </w:r>
    </w:p>
    <w:p w14:paraId="5F3E488B">
      <w:pPr>
        <w:overflowPunct w:val="0"/>
        <w:topLinePunct/>
        <w:spacing w:before="156" w:after="156" w:afterLines="50" w:line="312" w:lineRule="auto"/>
        <w:ind w:firstLine="482"/>
        <w:rPr>
          <w:rFonts w:cs="Times New Roman"/>
          <w:szCs w:val="24"/>
        </w:rPr>
      </w:pPr>
      <w:r>
        <w:rPr>
          <w:rFonts w:cs="Times New Roman"/>
          <w:b/>
          <w:szCs w:val="24"/>
        </w:rPr>
        <w:t>4.2.2</w:t>
      </w:r>
      <w:r>
        <w:rPr>
          <w:rFonts w:cs="Times New Roman"/>
          <w:szCs w:val="24"/>
        </w:rPr>
        <w:t>　天然地基的地基土类别宜按表4.2.</w:t>
      </w:r>
      <w:r>
        <w:rPr>
          <w:rFonts w:hint="eastAsia" w:cs="Times New Roman"/>
          <w:szCs w:val="24"/>
        </w:rPr>
        <w:t>2</w:t>
      </w:r>
      <w:r>
        <w:rPr>
          <w:rFonts w:cs="Times New Roman"/>
          <w:szCs w:val="24"/>
        </w:rPr>
        <w:t>确定。</w:t>
      </w:r>
    </w:p>
    <w:p w14:paraId="7371D5F5">
      <w:pPr>
        <w:pStyle w:val="39"/>
      </w:pPr>
      <w:r>
        <w:t>表4.2.</w:t>
      </w:r>
      <w:r>
        <w:rPr>
          <w:rFonts w:hint="eastAsia"/>
        </w:rPr>
        <w:t>2</w:t>
      </w:r>
      <w:r>
        <w:t>　地基土类别</w:t>
      </w:r>
    </w:p>
    <w:tbl>
      <w:tblPr>
        <w:tblStyle w:val="32"/>
        <w:tblW w:w="452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4142"/>
        <w:gridCol w:w="1789"/>
      </w:tblGrid>
      <w:tr w14:paraId="0065F9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20" w:type="pct"/>
            <w:tcBorders>
              <w:top w:val="single" w:color="auto" w:sz="12" w:space="0"/>
              <w:bottom w:val="single" w:color="auto" w:sz="12" w:space="0"/>
            </w:tcBorders>
            <w:vAlign w:val="center"/>
          </w:tcPr>
          <w:p w14:paraId="712A138F">
            <w:pPr>
              <w:pStyle w:val="39"/>
            </w:pPr>
            <w:r>
              <w:t>土的名称</w:t>
            </w:r>
          </w:p>
        </w:tc>
        <w:tc>
          <w:tcPr>
            <w:tcW w:w="2570" w:type="pct"/>
            <w:tcBorders>
              <w:top w:val="single" w:color="auto" w:sz="12" w:space="0"/>
              <w:bottom w:val="single" w:color="auto" w:sz="12" w:space="0"/>
            </w:tcBorders>
            <w:vAlign w:val="center"/>
          </w:tcPr>
          <w:p w14:paraId="763D4304">
            <w:pPr>
              <w:pStyle w:val="39"/>
            </w:pPr>
            <w:r>
              <w:t>地基承载力特征值</w:t>
            </w:r>
            <m:oMath>
              <m:sSub>
                <m:sSubPr/>
                <m:e>
                  <m:r>
                    <m:rPr>
                      <m:sty m:val="bi"/>
                    </m:rPr>
                    <m:t>f</m:t>
                  </m:r>
                </m:e>
                <m:sub>
                  <m:r>
                    <m:rPr>
                      <m:sty m:val="b"/>
                    </m:rPr>
                    <m:t>ak</m:t>
                  </m:r>
                </m:sub>
              </m:sSub>
            </m:oMath>
            <w:r>
              <w:t>（kPa）</w:t>
            </w:r>
          </w:p>
        </w:tc>
        <w:tc>
          <w:tcPr>
            <w:tcW w:w="1110" w:type="pct"/>
            <w:tcBorders>
              <w:top w:val="single" w:color="auto" w:sz="12" w:space="0"/>
              <w:bottom w:val="single" w:color="auto" w:sz="12" w:space="0"/>
            </w:tcBorders>
            <w:vAlign w:val="center"/>
          </w:tcPr>
          <w:p w14:paraId="2740EA37">
            <w:pPr>
              <w:pStyle w:val="39"/>
            </w:pPr>
            <w:r>
              <w:t>地基土类别</w:t>
            </w:r>
          </w:p>
        </w:tc>
      </w:tr>
      <w:tr w14:paraId="55D465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20" w:type="pct"/>
            <w:tcBorders>
              <w:top w:val="single" w:color="auto" w:sz="12" w:space="0"/>
            </w:tcBorders>
            <w:vAlign w:val="center"/>
          </w:tcPr>
          <w:p w14:paraId="6330D60D">
            <w:pPr>
              <w:pStyle w:val="39"/>
            </w:pPr>
            <w:r>
              <w:t>碎石土</w:t>
            </w:r>
          </w:p>
        </w:tc>
        <w:tc>
          <w:tcPr>
            <w:tcW w:w="2570" w:type="pct"/>
            <w:tcBorders>
              <w:top w:val="single" w:color="auto" w:sz="12" w:space="0"/>
            </w:tcBorders>
            <w:vAlign w:val="center"/>
          </w:tcPr>
          <w:p w14:paraId="6390A755">
            <w:pPr>
              <w:pStyle w:val="39"/>
            </w:pPr>
            <m:oMathPara>
              <m:oMath>
                <m:sSub>
                  <m:sSubPr/>
                  <m:e>
                    <m:r>
                      <m:rPr/>
                      <m:t>f</m:t>
                    </m:r>
                  </m:e>
                  <m:sub>
                    <m:r>
                      <m:rPr>
                        <m:sty m:val="p"/>
                      </m:rPr>
                      <m:t>ak</m:t>
                    </m:r>
                  </m:sub>
                </m:sSub>
                <m:r>
                  <m:rPr>
                    <m:sty m:val="p"/>
                  </m:rPr>
                  <m:t>&gt;500</m:t>
                </m:r>
              </m:oMath>
            </m:oMathPara>
          </w:p>
        </w:tc>
        <w:tc>
          <w:tcPr>
            <w:tcW w:w="1110" w:type="pct"/>
            <w:vMerge w:val="restart"/>
            <w:tcBorders>
              <w:top w:val="single" w:color="auto" w:sz="12" w:space="0"/>
            </w:tcBorders>
            <w:vAlign w:val="center"/>
          </w:tcPr>
          <w:p w14:paraId="3F7064B6">
            <w:pPr>
              <w:pStyle w:val="39"/>
            </w:pPr>
            <w:r>
              <w:t>一类土</w:t>
            </w:r>
          </w:p>
        </w:tc>
      </w:tr>
      <w:tr w14:paraId="7E27F9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20" w:type="pct"/>
            <w:vAlign w:val="center"/>
          </w:tcPr>
          <w:p w14:paraId="50382948">
            <w:pPr>
              <w:pStyle w:val="39"/>
            </w:pPr>
            <w:r>
              <w:t>黏性土</w:t>
            </w:r>
          </w:p>
        </w:tc>
        <w:tc>
          <w:tcPr>
            <w:tcW w:w="2570" w:type="pct"/>
            <w:vAlign w:val="center"/>
          </w:tcPr>
          <w:p w14:paraId="159492E4">
            <w:pPr>
              <w:pStyle w:val="39"/>
            </w:pPr>
            <m:oMathPara>
              <m:oMath>
                <m:sSub>
                  <m:sSubPr/>
                  <m:e>
                    <m:r>
                      <m:rPr/>
                      <m:t>f</m:t>
                    </m:r>
                  </m:e>
                  <m:sub>
                    <m:r>
                      <m:rPr>
                        <m:sty m:val="p"/>
                      </m:rPr>
                      <m:t>ak</m:t>
                    </m:r>
                  </m:sub>
                </m:sSub>
                <m:r>
                  <m:rPr>
                    <m:sty m:val="p"/>
                  </m:rPr>
                  <m:t>&gt;250</m:t>
                </m:r>
              </m:oMath>
            </m:oMathPara>
          </w:p>
        </w:tc>
        <w:tc>
          <w:tcPr>
            <w:tcW w:w="1110" w:type="pct"/>
            <w:vMerge w:val="continue"/>
            <w:vAlign w:val="center"/>
          </w:tcPr>
          <w:p w14:paraId="7FD3DF3C">
            <w:pPr>
              <w:pStyle w:val="39"/>
            </w:pPr>
          </w:p>
        </w:tc>
      </w:tr>
      <w:tr w14:paraId="3F6467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20" w:type="pct"/>
            <w:vAlign w:val="center"/>
          </w:tcPr>
          <w:p w14:paraId="5EA17B6B">
            <w:pPr>
              <w:pStyle w:val="39"/>
            </w:pPr>
            <w:r>
              <w:t>碎石土</w:t>
            </w:r>
          </w:p>
        </w:tc>
        <w:tc>
          <w:tcPr>
            <w:tcW w:w="2570" w:type="pct"/>
            <w:vAlign w:val="center"/>
          </w:tcPr>
          <w:p w14:paraId="7408AC88">
            <w:pPr>
              <w:pStyle w:val="39"/>
            </w:pPr>
            <m:oMathPara>
              <m:oMath>
                <m:r>
                  <m:rPr/>
                  <m:t>300&lt;</m:t>
                </m:r>
                <m:sSub>
                  <m:sSubPr/>
                  <m:e>
                    <m:r>
                      <m:rPr/>
                      <m:t>f</m:t>
                    </m:r>
                  </m:e>
                  <m:sub>
                    <m:r>
                      <m:rPr>
                        <m:sty m:val="p"/>
                      </m:rPr>
                      <m:t>ak</m:t>
                    </m:r>
                  </m:sub>
                </m:sSub>
                <m:r>
                  <m:rPr>
                    <m:sty m:val="p"/>
                  </m:rPr>
                  <m:t>≤500</m:t>
                </m:r>
              </m:oMath>
            </m:oMathPara>
          </w:p>
        </w:tc>
        <w:tc>
          <w:tcPr>
            <w:tcW w:w="1110" w:type="pct"/>
            <w:vMerge w:val="restart"/>
            <w:vAlign w:val="center"/>
          </w:tcPr>
          <w:p w14:paraId="0BCFD67E">
            <w:pPr>
              <w:pStyle w:val="39"/>
            </w:pPr>
            <w:r>
              <w:t>二类土</w:t>
            </w:r>
          </w:p>
        </w:tc>
      </w:tr>
      <w:tr w14:paraId="519FDA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20" w:type="pct"/>
            <w:vAlign w:val="center"/>
          </w:tcPr>
          <w:p w14:paraId="09E86CC0">
            <w:pPr>
              <w:pStyle w:val="39"/>
            </w:pPr>
            <w:r>
              <w:t>粉土、砂土</w:t>
            </w:r>
          </w:p>
        </w:tc>
        <w:tc>
          <w:tcPr>
            <w:tcW w:w="2570" w:type="pct"/>
            <w:vAlign w:val="center"/>
          </w:tcPr>
          <w:p w14:paraId="34A0AC63">
            <w:pPr>
              <w:pStyle w:val="39"/>
            </w:pPr>
            <m:oMathPara>
              <m:oMath>
                <m:r>
                  <m:rPr/>
                  <m:t>250&lt;</m:t>
                </m:r>
                <m:sSub>
                  <m:sSubPr/>
                  <m:e>
                    <m:r>
                      <m:rPr/>
                      <m:t>f</m:t>
                    </m:r>
                  </m:e>
                  <m:sub>
                    <m:r>
                      <m:rPr>
                        <m:sty m:val="p"/>
                      </m:rPr>
                      <m:t>ak</m:t>
                    </m:r>
                  </m:sub>
                </m:sSub>
                <m:r>
                  <m:rPr>
                    <m:sty m:val="p"/>
                  </m:rPr>
                  <m:t>≤400</m:t>
                </m:r>
              </m:oMath>
            </m:oMathPara>
          </w:p>
        </w:tc>
        <w:tc>
          <w:tcPr>
            <w:tcW w:w="1110" w:type="pct"/>
            <w:vMerge w:val="continue"/>
            <w:vAlign w:val="center"/>
          </w:tcPr>
          <w:p w14:paraId="13021301">
            <w:pPr>
              <w:pStyle w:val="39"/>
            </w:pPr>
          </w:p>
        </w:tc>
      </w:tr>
      <w:tr w14:paraId="065828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20" w:type="pct"/>
            <w:vAlign w:val="center"/>
          </w:tcPr>
          <w:p w14:paraId="7C871DCE">
            <w:pPr>
              <w:pStyle w:val="39"/>
            </w:pPr>
            <w:r>
              <w:t>黏性土</w:t>
            </w:r>
          </w:p>
        </w:tc>
        <w:tc>
          <w:tcPr>
            <w:tcW w:w="2570" w:type="pct"/>
            <w:vAlign w:val="center"/>
          </w:tcPr>
          <w:p w14:paraId="668F5382">
            <w:pPr>
              <w:pStyle w:val="39"/>
            </w:pPr>
            <m:oMathPara>
              <m:oMath>
                <m:r>
                  <m:rPr/>
                  <m:t>180&lt;</m:t>
                </m:r>
                <m:sSub>
                  <m:sSubPr/>
                  <m:e>
                    <m:r>
                      <m:rPr/>
                      <m:t>f</m:t>
                    </m:r>
                  </m:e>
                  <m:sub>
                    <m:r>
                      <m:rPr>
                        <m:sty m:val="p"/>
                      </m:rPr>
                      <m:t>ak</m:t>
                    </m:r>
                  </m:sub>
                </m:sSub>
                <m:r>
                  <m:rPr>
                    <m:sty m:val="p"/>
                  </m:rPr>
                  <m:t>≤250</m:t>
                </m:r>
              </m:oMath>
            </m:oMathPara>
          </w:p>
        </w:tc>
        <w:tc>
          <w:tcPr>
            <w:tcW w:w="1110" w:type="pct"/>
            <w:vMerge w:val="continue"/>
            <w:vAlign w:val="center"/>
          </w:tcPr>
          <w:p w14:paraId="23837CD1">
            <w:pPr>
              <w:pStyle w:val="39"/>
            </w:pPr>
          </w:p>
        </w:tc>
      </w:tr>
      <w:tr w14:paraId="45C4A9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20" w:type="pct"/>
            <w:vAlign w:val="center"/>
          </w:tcPr>
          <w:p w14:paraId="7F18A620">
            <w:pPr>
              <w:pStyle w:val="39"/>
            </w:pPr>
            <w:r>
              <w:t>碎石土</w:t>
            </w:r>
          </w:p>
        </w:tc>
        <w:tc>
          <w:tcPr>
            <w:tcW w:w="2570" w:type="pct"/>
            <w:vAlign w:val="center"/>
          </w:tcPr>
          <w:p w14:paraId="6FAA11F5">
            <w:pPr>
              <w:pStyle w:val="39"/>
            </w:pPr>
            <m:oMathPara>
              <m:oMath>
                <m:r>
                  <m:rPr/>
                  <m:t>180&lt;</m:t>
                </m:r>
                <m:sSub>
                  <m:sSubPr/>
                  <m:e>
                    <m:r>
                      <m:rPr/>
                      <m:t>f</m:t>
                    </m:r>
                  </m:e>
                  <m:sub>
                    <m:r>
                      <m:rPr>
                        <m:sty m:val="p"/>
                      </m:rPr>
                      <m:t>ak</m:t>
                    </m:r>
                  </m:sub>
                </m:sSub>
                <m:r>
                  <m:rPr>
                    <m:sty m:val="p"/>
                  </m:rPr>
                  <m:t>≤300</m:t>
                </m:r>
              </m:oMath>
            </m:oMathPara>
          </w:p>
        </w:tc>
        <w:tc>
          <w:tcPr>
            <w:tcW w:w="1110" w:type="pct"/>
            <w:vMerge w:val="restart"/>
            <w:vAlign w:val="center"/>
          </w:tcPr>
          <w:p w14:paraId="6A7FD96A">
            <w:pPr>
              <w:pStyle w:val="39"/>
            </w:pPr>
            <w:r>
              <w:t>三类土</w:t>
            </w:r>
          </w:p>
        </w:tc>
      </w:tr>
      <w:tr w14:paraId="3F7A5A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20" w:type="pct"/>
            <w:vAlign w:val="center"/>
          </w:tcPr>
          <w:p w14:paraId="24AC2B1B">
            <w:pPr>
              <w:pStyle w:val="39"/>
            </w:pPr>
            <w:r>
              <w:t>粉土、砂土</w:t>
            </w:r>
          </w:p>
        </w:tc>
        <w:tc>
          <w:tcPr>
            <w:tcW w:w="2570" w:type="pct"/>
            <w:vAlign w:val="center"/>
          </w:tcPr>
          <w:p w14:paraId="7BFE6553">
            <w:pPr>
              <w:pStyle w:val="39"/>
            </w:pPr>
            <m:oMathPara>
              <m:oMath>
                <m:r>
                  <m:rPr/>
                  <m:t>160&lt;</m:t>
                </m:r>
                <m:sSub>
                  <m:sSubPr/>
                  <m:e>
                    <m:r>
                      <m:rPr/>
                      <m:t>f</m:t>
                    </m:r>
                  </m:e>
                  <m:sub>
                    <m:r>
                      <m:rPr>
                        <m:sty m:val="p"/>
                      </m:rPr>
                      <m:t>ak</m:t>
                    </m:r>
                  </m:sub>
                </m:sSub>
                <m:r>
                  <m:rPr>
                    <m:sty m:val="p"/>
                  </m:rPr>
                  <m:t>≤250</m:t>
                </m:r>
              </m:oMath>
            </m:oMathPara>
          </w:p>
        </w:tc>
        <w:tc>
          <w:tcPr>
            <w:tcW w:w="1110" w:type="pct"/>
            <w:vMerge w:val="continue"/>
            <w:vAlign w:val="center"/>
          </w:tcPr>
          <w:p w14:paraId="69821C08">
            <w:pPr>
              <w:pStyle w:val="39"/>
            </w:pPr>
          </w:p>
        </w:tc>
      </w:tr>
      <w:tr w14:paraId="4DD11B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20" w:type="pct"/>
            <w:vAlign w:val="center"/>
          </w:tcPr>
          <w:p w14:paraId="53FE8E16">
            <w:pPr>
              <w:pStyle w:val="39"/>
            </w:pPr>
            <w:r>
              <w:t>黏性土</w:t>
            </w:r>
          </w:p>
        </w:tc>
        <w:tc>
          <w:tcPr>
            <w:tcW w:w="2570" w:type="pct"/>
            <w:vAlign w:val="center"/>
          </w:tcPr>
          <w:p w14:paraId="679DBBFB">
            <w:pPr>
              <w:pStyle w:val="39"/>
            </w:pPr>
            <m:oMathPara>
              <m:oMath>
                <m:r>
                  <m:rPr/>
                  <m:t>130&lt;</m:t>
                </m:r>
                <m:sSub>
                  <m:sSubPr/>
                  <m:e>
                    <m:r>
                      <m:rPr/>
                      <m:t>f</m:t>
                    </m:r>
                  </m:e>
                  <m:sub>
                    <m:r>
                      <m:rPr>
                        <m:sty m:val="p"/>
                      </m:rPr>
                      <m:t>ak</m:t>
                    </m:r>
                  </m:sub>
                </m:sSub>
                <m:r>
                  <m:rPr>
                    <m:sty m:val="p"/>
                  </m:rPr>
                  <m:t>≤180</m:t>
                </m:r>
              </m:oMath>
            </m:oMathPara>
          </w:p>
        </w:tc>
        <w:tc>
          <w:tcPr>
            <w:tcW w:w="1110" w:type="pct"/>
            <w:vMerge w:val="continue"/>
            <w:vAlign w:val="center"/>
          </w:tcPr>
          <w:p w14:paraId="29416BCB">
            <w:pPr>
              <w:pStyle w:val="39"/>
            </w:pPr>
          </w:p>
        </w:tc>
      </w:tr>
      <w:tr w14:paraId="3AA9F0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20" w:type="pct"/>
            <w:vAlign w:val="center"/>
          </w:tcPr>
          <w:p w14:paraId="6A27EF2A">
            <w:pPr>
              <w:pStyle w:val="39"/>
            </w:pPr>
            <w:r>
              <w:t>粉土、砂土</w:t>
            </w:r>
          </w:p>
        </w:tc>
        <w:tc>
          <w:tcPr>
            <w:tcW w:w="2570" w:type="pct"/>
            <w:vAlign w:val="center"/>
          </w:tcPr>
          <w:p w14:paraId="190F0955">
            <w:pPr>
              <w:pStyle w:val="39"/>
            </w:pPr>
            <m:oMathPara>
              <m:oMath>
                <m:r>
                  <m:rPr/>
                  <m:t>120&lt;</m:t>
                </m:r>
                <m:sSub>
                  <m:sSubPr/>
                  <m:e>
                    <m:r>
                      <m:rPr/>
                      <m:t>f</m:t>
                    </m:r>
                  </m:e>
                  <m:sub>
                    <m:r>
                      <m:rPr>
                        <m:sty m:val="p"/>
                      </m:rPr>
                      <m:t>ak</m:t>
                    </m:r>
                  </m:sub>
                </m:sSub>
                <m:r>
                  <m:rPr>
                    <m:sty m:val="p"/>
                  </m:rPr>
                  <m:t>≤160</m:t>
                </m:r>
              </m:oMath>
            </m:oMathPara>
          </w:p>
        </w:tc>
        <w:tc>
          <w:tcPr>
            <w:tcW w:w="1110" w:type="pct"/>
            <w:vMerge w:val="restart"/>
            <w:vAlign w:val="center"/>
          </w:tcPr>
          <w:p w14:paraId="70E5CB02">
            <w:pPr>
              <w:pStyle w:val="39"/>
            </w:pPr>
            <w:r>
              <w:t>四类土</w:t>
            </w:r>
          </w:p>
        </w:tc>
      </w:tr>
      <w:tr w14:paraId="30CB86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20" w:type="pct"/>
            <w:vAlign w:val="center"/>
          </w:tcPr>
          <w:p w14:paraId="2476AACD">
            <w:pPr>
              <w:pStyle w:val="39"/>
            </w:pPr>
            <w:r>
              <w:t>黏性土</w:t>
            </w:r>
          </w:p>
        </w:tc>
        <w:tc>
          <w:tcPr>
            <w:tcW w:w="2570" w:type="pct"/>
            <w:vAlign w:val="center"/>
          </w:tcPr>
          <w:p w14:paraId="778348D8">
            <w:pPr>
              <w:pStyle w:val="39"/>
            </w:pPr>
            <m:oMathPara>
              <m:oMath>
                <m:r>
                  <m:rPr/>
                  <m:t>80&lt;</m:t>
                </m:r>
                <m:sSub>
                  <m:sSubPr/>
                  <m:e>
                    <m:r>
                      <m:rPr/>
                      <m:t>f</m:t>
                    </m:r>
                  </m:e>
                  <m:sub>
                    <m:r>
                      <m:rPr>
                        <m:sty m:val="p"/>
                      </m:rPr>
                      <m:t>ak</m:t>
                    </m:r>
                  </m:sub>
                </m:sSub>
                <m:r>
                  <m:rPr>
                    <m:sty m:val="p"/>
                  </m:rPr>
                  <m:t>≤130</m:t>
                </m:r>
              </m:oMath>
            </m:oMathPara>
          </w:p>
        </w:tc>
        <w:tc>
          <w:tcPr>
            <w:tcW w:w="1110" w:type="pct"/>
            <w:vMerge w:val="continue"/>
            <w:vAlign w:val="center"/>
          </w:tcPr>
          <w:p w14:paraId="028E8686">
            <w:pPr>
              <w:pStyle w:val="39"/>
            </w:pPr>
          </w:p>
        </w:tc>
      </w:tr>
    </w:tbl>
    <w:p w14:paraId="0AF35204">
      <w:pPr>
        <w:pStyle w:val="4"/>
        <w:spacing w:before="156"/>
      </w:pPr>
      <w:r>
        <w:t>4.3　</w:t>
      </w:r>
      <w:r>
        <w:rPr>
          <w:rFonts w:hint="eastAsia"/>
        </w:rPr>
        <w:t>地基动力特性参数</w:t>
      </w:r>
    </w:p>
    <w:p w14:paraId="7763A001">
      <w:pPr>
        <w:pStyle w:val="4"/>
        <w:spacing w:before="156"/>
      </w:pPr>
      <w:r>
        <w:rPr>
          <w:rFonts w:hint="eastAsia"/>
        </w:rPr>
        <w:t>I</w:t>
      </w:r>
      <w:r>
        <w:t xml:space="preserve"> </w:t>
      </w:r>
      <w:r>
        <w:rPr>
          <w:rFonts w:hint="eastAsia"/>
        </w:rPr>
        <w:t>天然地基</w:t>
      </w:r>
    </w:p>
    <w:p w14:paraId="3629365B">
      <w:pPr>
        <w:spacing w:before="156"/>
        <w:ind w:firstLine="482"/>
      </w:pPr>
      <w:r>
        <w:rPr>
          <w:b/>
        </w:rPr>
        <w:t>4.3.1</w:t>
      </w:r>
      <w:r>
        <w:t>　</w:t>
      </w:r>
      <w:r>
        <w:rPr>
          <w:rFonts w:hint="eastAsia"/>
        </w:rPr>
        <w:t>天然地基的动力特性参数宜由现场测试确定，测试方法应符合现行国家标准《地基动力特性测试规范》GB/T 50269的有关规定；当无测试条件时，宜按本标准第4.3.2～4.3.9条的规定确定。</w:t>
      </w:r>
    </w:p>
    <w:p w14:paraId="339E1D73">
      <w:pPr>
        <w:spacing w:before="156"/>
        <w:ind w:firstLine="482"/>
      </w:pPr>
      <w:r>
        <w:rPr>
          <w:rFonts w:hint="eastAsia"/>
          <w:b/>
        </w:rPr>
        <w:t>4.3.2</w:t>
      </w:r>
      <w:r>
        <w:t xml:space="preserve"> 天然地基的抗压刚度系数，可按下列规定确定：</w:t>
      </w:r>
    </w:p>
    <w:p w14:paraId="53DC8EE1">
      <w:pPr>
        <w:spacing w:before="156"/>
        <w:ind w:firstLine="482"/>
      </w:pPr>
      <w:r>
        <w:rPr>
          <w:b/>
        </w:rPr>
        <w:t>1</w:t>
      </w:r>
      <w:r>
        <w:t>　当基础底面积不小于20m</w:t>
      </w:r>
      <w:r>
        <w:rPr>
          <w:vertAlign w:val="superscript"/>
        </w:rPr>
        <w:t>2</w:t>
      </w:r>
      <w:r>
        <w:t>时，可按表4.3.</w:t>
      </w:r>
      <w:r>
        <w:rPr>
          <w:rFonts w:hint="eastAsia"/>
        </w:rPr>
        <w:t>2</w:t>
      </w:r>
      <w:r>
        <w:t>采用。</w:t>
      </w:r>
    </w:p>
    <w:p w14:paraId="0E97F2EE">
      <w:pPr>
        <w:pStyle w:val="39"/>
      </w:pPr>
      <w:r>
        <w:t>表4.3.2　天然地基的抗压刚度系数Cz值（kN/m3）</w:t>
      </w:r>
    </w:p>
    <w:tbl>
      <w:tblPr>
        <w:tblStyle w:val="32"/>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2745"/>
        <w:gridCol w:w="1920"/>
        <w:gridCol w:w="1920"/>
        <w:gridCol w:w="1691"/>
      </w:tblGrid>
      <w:tr w14:paraId="1C595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2745" w:type="dxa"/>
            <w:vMerge w:val="restart"/>
            <w:vAlign w:val="center"/>
          </w:tcPr>
          <w:p w14:paraId="764F453C">
            <w:pPr>
              <w:pStyle w:val="39"/>
            </w:pPr>
            <w:r>
              <w:t>地基承载力特征值</w:t>
            </w:r>
            <m:oMath>
              <m:sSub>
                <m:sSubPr/>
                <m:e>
                  <m:r>
                    <m:rPr/>
                    <m:t>f</m:t>
                  </m:r>
                </m:e>
                <m:sub>
                  <m:r>
                    <m:rPr>
                      <m:sty m:val="p"/>
                    </m:rPr>
                    <m:t>ak</m:t>
                  </m:r>
                </m:sub>
              </m:sSub>
            </m:oMath>
            <w:r>
              <w:t>（kPa）</w:t>
            </w:r>
          </w:p>
        </w:tc>
        <w:tc>
          <w:tcPr>
            <w:tcW w:w="5531" w:type="dxa"/>
            <w:gridSpan w:val="3"/>
            <w:vAlign w:val="center"/>
          </w:tcPr>
          <w:p w14:paraId="5A201884">
            <w:pPr>
              <w:pStyle w:val="39"/>
            </w:pPr>
            <w:r>
              <w:t>土的名称</w:t>
            </w:r>
          </w:p>
        </w:tc>
      </w:tr>
      <w:tr w14:paraId="703C64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2745" w:type="dxa"/>
            <w:vMerge w:val="continue"/>
            <w:vAlign w:val="center"/>
          </w:tcPr>
          <w:p w14:paraId="2A079BBB">
            <w:pPr>
              <w:pStyle w:val="39"/>
            </w:pPr>
          </w:p>
        </w:tc>
        <w:tc>
          <w:tcPr>
            <w:tcW w:w="1920" w:type="dxa"/>
            <w:vAlign w:val="center"/>
          </w:tcPr>
          <w:p w14:paraId="00EE2423">
            <w:pPr>
              <w:pStyle w:val="39"/>
            </w:pPr>
            <w:r>
              <w:t>黏性土</w:t>
            </w:r>
          </w:p>
        </w:tc>
        <w:tc>
          <w:tcPr>
            <w:tcW w:w="1920" w:type="dxa"/>
            <w:vAlign w:val="center"/>
          </w:tcPr>
          <w:p w14:paraId="4AED05F7">
            <w:pPr>
              <w:pStyle w:val="39"/>
            </w:pPr>
            <w:r>
              <w:t>粉土</w:t>
            </w:r>
          </w:p>
        </w:tc>
        <w:tc>
          <w:tcPr>
            <w:tcW w:w="1691" w:type="dxa"/>
            <w:vAlign w:val="center"/>
          </w:tcPr>
          <w:p w14:paraId="020AB7DE">
            <w:pPr>
              <w:pStyle w:val="39"/>
            </w:pPr>
            <w:r>
              <w:t>砂土</w:t>
            </w:r>
          </w:p>
        </w:tc>
      </w:tr>
      <w:tr w14:paraId="718A42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2745" w:type="dxa"/>
            <w:vAlign w:val="center"/>
          </w:tcPr>
          <w:p w14:paraId="57DA7E2A">
            <w:pPr>
              <w:pStyle w:val="39"/>
            </w:pPr>
            <w:r>
              <w:t>300</w:t>
            </w:r>
          </w:p>
        </w:tc>
        <w:tc>
          <w:tcPr>
            <w:tcW w:w="1920" w:type="dxa"/>
            <w:vAlign w:val="center"/>
          </w:tcPr>
          <w:p w14:paraId="7426EDF1">
            <w:pPr>
              <w:pStyle w:val="39"/>
            </w:pPr>
            <w:r>
              <w:t>66000</w:t>
            </w:r>
          </w:p>
        </w:tc>
        <w:tc>
          <w:tcPr>
            <w:tcW w:w="1920" w:type="dxa"/>
            <w:vAlign w:val="center"/>
          </w:tcPr>
          <w:p w14:paraId="14832AD8">
            <w:pPr>
              <w:pStyle w:val="39"/>
            </w:pPr>
            <w:r>
              <w:t>59000</w:t>
            </w:r>
          </w:p>
        </w:tc>
        <w:tc>
          <w:tcPr>
            <w:tcW w:w="1691" w:type="dxa"/>
            <w:vAlign w:val="center"/>
          </w:tcPr>
          <w:p w14:paraId="070F505A">
            <w:pPr>
              <w:pStyle w:val="39"/>
            </w:pPr>
            <w:r>
              <w:t>52000</w:t>
            </w:r>
          </w:p>
        </w:tc>
      </w:tr>
      <w:tr w14:paraId="34A923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2745" w:type="dxa"/>
            <w:vAlign w:val="center"/>
          </w:tcPr>
          <w:p w14:paraId="60314521">
            <w:pPr>
              <w:pStyle w:val="39"/>
            </w:pPr>
            <w:r>
              <w:t>250</w:t>
            </w:r>
          </w:p>
        </w:tc>
        <w:tc>
          <w:tcPr>
            <w:tcW w:w="1920" w:type="dxa"/>
            <w:vAlign w:val="center"/>
          </w:tcPr>
          <w:p w14:paraId="5D35E5AB">
            <w:pPr>
              <w:pStyle w:val="39"/>
            </w:pPr>
            <w:r>
              <w:t>55000</w:t>
            </w:r>
          </w:p>
        </w:tc>
        <w:tc>
          <w:tcPr>
            <w:tcW w:w="1920" w:type="dxa"/>
            <w:vAlign w:val="center"/>
          </w:tcPr>
          <w:p w14:paraId="77B8B36D">
            <w:pPr>
              <w:pStyle w:val="39"/>
            </w:pPr>
            <w:r>
              <w:t>49000</w:t>
            </w:r>
          </w:p>
        </w:tc>
        <w:tc>
          <w:tcPr>
            <w:tcW w:w="1691" w:type="dxa"/>
            <w:vAlign w:val="center"/>
          </w:tcPr>
          <w:p w14:paraId="03C8426E">
            <w:pPr>
              <w:pStyle w:val="39"/>
            </w:pPr>
            <w:r>
              <w:t>44000</w:t>
            </w:r>
          </w:p>
        </w:tc>
      </w:tr>
      <w:tr w14:paraId="7429B4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2745" w:type="dxa"/>
            <w:vAlign w:val="center"/>
          </w:tcPr>
          <w:p w14:paraId="57CD0930">
            <w:pPr>
              <w:pStyle w:val="39"/>
            </w:pPr>
            <w:r>
              <w:t>200</w:t>
            </w:r>
          </w:p>
        </w:tc>
        <w:tc>
          <w:tcPr>
            <w:tcW w:w="1920" w:type="dxa"/>
            <w:vAlign w:val="center"/>
          </w:tcPr>
          <w:p w14:paraId="6FE6561E">
            <w:pPr>
              <w:pStyle w:val="39"/>
            </w:pPr>
            <w:r>
              <w:t>45000</w:t>
            </w:r>
          </w:p>
        </w:tc>
        <w:tc>
          <w:tcPr>
            <w:tcW w:w="1920" w:type="dxa"/>
            <w:vAlign w:val="center"/>
          </w:tcPr>
          <w:p w14:paraId="7282BB60">
            <w:pPr>
              <w:pStyle w:val="39"/>
            </w:pPr>
            <w:r>
              <w:t>40000</w:t>
            </w:r>
          </w:p>
        </w:tc>
        <w:tc>
          <w:tcPr>
            <w:tcW w:w="1691" w:type="dxa"/>
            <w:vAlign w:val="center"/>
          </w:tcPr>
          <w:p w14:paraId="1C5B4318">
            <w:pPr>
              <w:pStyle w:val="39"/>
            </w:pPr>
            <w:r>
              <w:t>36000</w:t>
            </w:r>
          </w:p>
        </w:tc>
      </w:tr>
      <w:tr w14:paraId="4CE17A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2745" w:type="dxa"/>
            <w:vAlign w:val="center"/>
          </w:tcPr>
          <w:p w14:paraId="7F0CE850">
            <w:pPr>
              <w:pStyle w:val="39"/>
            </w:pPr>
            <w:r>
              <w:t>150</w:t>
            </w:r>
          </w:p>
        </w:tc>
        <w:tc>
          <w:tcPr>
            <w:tcW w:w="1920" w:type="dxa"/>
            <w:vAlign w:val="center"/>
          </w:tcPr>
          <w:p w14:paraId="2D39377B">
            <w:pPr>
              <w:pStyle w:val="39"/>
            </w:pPr>
            <w:r>
              <w:t>35000</w:t>
            </w:r>
          </w:p>
        </w:tc>
        <w:tc>
          <w:tcPr>
            <w:tcW w:w="1920" w:type="dxa"/>
            <w:vAlign w:val="center"/>
          </w:tcPr>
          <w:p w14:paraId="07122B40">
            <w:pPr>
              <w:pStyle w:val="39"/>
            </w:pPr>
            <w:r>
              <w:t>31000</w:t>
            </w:r>
          </w:p>
        </w:tc>
        <w:tc>
          <w:tcPr>
            <w:tcW w:w="1691" w:type="dxa"/>
            <w:vAlign w:val="center"/>
          </w:tcPr>
          <w:p w14:paraId="5F11E740">
            <w:pPr>
              <w:pStyle w:val="39"/>
            </w:pPr>
            <w:r>
              <w:t>28000</w:t>
            </w:r>
          </w:p>
        </w:tc>
      </w:tr>
      <w:tr w14:paraId="4C2872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2745" w:type="dxa"/>
            <w:vAlign w:val="center"/>
          </w:tcPr>
          <w:p w14:paraId="0125BB86">
            <w:pPr>
              <w:pStyle w:val="39"/>
            </w:pPr>
            <w:r>
              <w:t>100</w:t>
            </w:r>
          </w:p>
        </w:tc>
        <w:tc>
          <w:tcPr>
            <w:tcW w:w="1920" w:type="dxa"/>
            <w:vAlign w:val="center"/>
          </w:tcPr>
          <w:p w14:paraId="1F97C58B">
            <w:pPr>
              <w:pStyle w:val="39"/>
            </w:pPr>
            <w:r>
              <w:t>25000</w:t>
            </w:r>
          </w:p>
        </w:tc>
        <w:tc>
          <w:tcPr>
            <w:tcW w:w="1920" w:type="dxa"/>
            <w:vAlign w:val="center"/>
          </w:tcPr>
          <w:p w14:paraId="1C823260">
            <w:pPr>
              <w:pStyle w:val="39"/>
            </w:pPr>
            <w:r>
              <w:t>22000</w:t>
            </w:r>
          </w:p>
        </w:tc>
        <w:tc>
          <w:tcPr>
            <w:tcW w:w="1691" w:type="dxa"/>
            <w:vAlign w:val="center"/>
          </w:tcPr>
          <w:p w14:paraId="49D359CA">
            <w:pPr>
              <w:pStyle w:val="39"/>
            </w:pPr>
            <w:r>
              <w:t>18000</w:t>
            </w:r>
          </w:p>
        </w:tc>
      </w:tr>
      <w:tr w14:paraId="568536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8276" w:type="dxa"/>
            <w:gridSpan w:val="4"/>
            <w:vAlign w:val="center"/>
          </w:tcPr>
          <w:p w14:paraId="6831B8A3">
            <w:pPr>
              <w:spacing w:before="156"/>
              <w:ind w:firstLine="480"/>
            </w:pPr>
            <w:r>
              <w:rPr>
                <w:rFonts w:hint="eastAsia"/>
              </w:rPr>
              <w:t>注：中间数值可按线性插值计算。</w:t>
            </w:r>
          </w:p>
        </w:tc>
      </w:tr>
    </w:tbl>
    <w:p w14:paraId="5A4683B9">
      <w:pPr>
        <w:spacing w:before="156"/>
        <w:ind w:firstLine="482"/>
      </w:pPr>
      <w:r>
        <w:rPr>
          <w:b/>
        </w:rPr>
        <w:t>2</w:t>
      </w:r>
      <w:r>
        <w:t>　当基础底面积小于20m</w:t>
      </w:r>
      <w:r>
        <w:rPr>
          <w:vertAlign w:val="superscript"/>
        </w:rPr>
        <w:t>2</w:t>
      </w:r>
      <w:r>
        <w:t>时，抗压刚度系数可采用表4.3.</w:t>
      </w:r>
      <w:r>
        <w:rPr>
          <w:rFonts w:hint="eastAsia"/>
        </w:rPr>
        <w:t>2</w:t>
      </w:r>
      <w:r>
        <w:t>中的数值乘以底面积修正系数，底面积修正系数可按下式计算：</w:t>
      </w:r>
    </w:p>
    <w:p w14:paraId="5E383C2D">
      <w:pPr>
        <w:spacing w:before="156"/>
        <w:ind w:firstLine="480"/>
        <w:jc w:val="right"/>
      </w:pPr>
      <m:oMath>
        <m:sSub>
          <m:sSubPr>
            <m:ctrlPr>
              <w:rPr>
                <w:rFonts w:ascii="Cambria Math" w:hAnsi="Cambria Math"/>
                <w:i/>
              </w:rPr>
            </m:ctrlPr>
          </m:sSubPr>
          <m:e>
            <m:r>
              <m:rPr/>
              <w:rPr>
                <w:rFonts w:ascii="Cambria Math" w:hAnsi="Cambria Math"/>
              </w:rPr>
              <m:t>β</m:t>
            </m:r>
            <m:ctrlPr>
              <w:rPr>
                <w:rFonts w:ascii="Cambria Math" w:hAnsi="Cambria Math"/>
                <w:i/>
              </w:rPr>
            </m:ctrlPr>
          </m:e>
          <m:sub>
            <m:r>
              <m:rPr>
                <m:sty m:val="p"/>
              </m:rPr>
              <w:rPr>
                <w:rFonts w:ascii="Cambria Math" w:hAnsi="Cambria Math"/>
              </w:rPr>
              <m:t>r</m:t>
            </m:r>
            <m:ctrlPr>
              <w:rPr>
                <w:rFonts w:ascii="Cambria Math" w:hAnsi="Cambria Math"/>
                <w:i/>
              </w:rPr>
            </m:ctrlPr>
          </m:sub>
        </m:sSub>
        <m:r>
          <m:rPr/>
          <w:rPr>
            <w:rFonts w:ascii="Cambria Math" w:hAnsi="Cambria Math"/>
          </w:rPr>
          <m:t>=</m:t>
        </m:r>
        <m:rad>
          <m:radPr>
            <m:ctrlPr>
              <w:rPr>
                <w:rFonts w:ascii="Cambria Math" w:hAnsi="Cambria Math"/>
                <w:i/>
              </w:rPr>
            </m:ctrlPr>
          </m:radPr>
          <m:deg>
            <m:r>
              <m:rPr/>
              <w:rPr>
                <w:rFonts w:ascii="Cambria Math" w:hAnsi="Cambria Math"/>
              </w:rPr>
              <m:t>3</m:t>
            </m:r>
            <m:ctrlPr>
              <w:rPr>
                <w:rFonts w:ascii="Cambria Math" w:hAnsi="Cambria Math"/>
                <w:i/>
              </w:rPr>
            </m:ctrlPr>
          </m:deg>
          <m:e>
            <m:f>
              <m:fPr>
                <m:ctrlPr>
                  <w:rPr>
                    <w:rFonts w:ascii="Cambria Math" w:hAnsi="Cambria Math"/>
                  </w:rPr>
                </m:ctrlPr>
              </m:fPr>
              <m:num>
                <m:r>
                  <m:rPr>
                    <m:sty m:val="p"/>
                  </m:rPr>
                  <w:rPr>
                    <w:rFonts w:ascii="Cambria Math" w:hAnsi="Cambria Math"/>
                  </w:rPr>
                  <m:t>20</m:t>
                </m:r>
                <m:ctrlPr>
                  <w:rPr>
                    <w:rFonts w:ascii="Cambria Math" w:hAnsi="Cambria Math"/>
                  </w:rPr>
                </m:ctrlPr>
              </m:num>
              <m:den>
                <m:r>
                  <m:rPr/>
                  <w:rPr>
                    <w:rFonts w:ascii="Cambria Math" w:hAnsi="Cambria Math"/>
                  </w:rPr>
                  <m:t>A</m:t>
                </m:r>
                <m:ctrlPr>
                  <w:rPr>
                    <w:rFonts w:ascii="Cambria Math" w:hAnsi="Cambria Math"/>
                  </w:rPr>
                </m:ctrlPr>
              </m:den>
            </m:f>
            <m:ctrlPr>
              <w:rPr>
                <w:rFonts w:ascii="Cambria Math" w:hAnsi="Cambria Math"/>
                <w:i/>
              </w:rPr>
            </m:ctrlPr>
          </m:e>
        </m:rad>
      </m:oMath>
      <w:r>
        <w:t xml:space="preserve">                           （4.3.1）</w:t>
      </w:r>
    </w:p>
    <w:p w14:paraId="2E6980BC">
      <w:pPr>
        <w:spacing w:before="156"/>
        <w:ind w:firstLine="480"/>
        <w:rPr>
          <w:szCs w:val="21"/>
        </w:rPr>
      </w:pPr>
      <w:r>
        <w:rPr>
          <w:szCs w:val="21"/>
        </w:rPr>
        <w:t>式中：</w:t>
      </w:r>
      <w:r>
        <w:rPr>
          <w:i/>
          <w:szCs w:val="21"/>
        </w:rPr>
        <w:t>β</w:t>
      </w:r>
      <w:r>
        <w:rPr>
          <w:szCs w:val="21"/>
          <w:vertAlign w:val="subscript"/>
        </w:rPr>
        <w:t>r</w:t>
      </w:r>
      <w:r>
        <w:rPr>
          <w:szCs w:val="21"/>
        </w:rPr>
        <w:t>——基础底面积修正系数；</w:t>
      </w:r>
    </w:p>
    <w:p w14:paraId="207C85D7">
      <w:pPr>
        <w:spacing w:before="156"/>
        <w:ind w:left="780" w:firstLine="480"/>
        <w:rPr>
          <w:szCs w:val="21"/>
        </w:rPr>
      </w:pPr>
      <w:r>
        <w:rPr>
          <w:i/>
          <w:szCs w:val="21"/>
        </w:rPr>
        <w:t>A</w:t>
      </w:r>
      <w:r>
        <w:rPr>
          <w:szCs w:val="21"/>
        </w:rPr>
        <w:t>——基础底面积（m</w:t>
      </w:r>
      <w:r>
        <w:rPr>
          <w:szCs w:val="21"/>
          <w:vertAlign w:val="superscript"/>
        </w:rPr>
        <w:t>2</w:t>
      </w:r>
      <w:r>
        <w:rPr>
          <w:szCs w:val="21"/>
        </w:rPr>
        <w:t>）。</w:t>
      </w:r>
    </w:p>
    <w:p w14:paraId="05988662">
      <w:pPr>
        <w:spacing w:before="156"/>
        <w:ind w:firstLine="482"/>
        <w:rPr>
          <w:b/>
        </w:rPr>
      </w:pPr>
      <w:r>
        <w:rPr>
          <w:rFonts w:hint="eastAsia"/>
          <w:b/>
        </w:rPr>
        <w:t>4.3</w:t>
      </w:r>
      <w:r>
        <w:rPr>
          <w:b/>
        </w:rPr>
        <w:t xml:space="preserve">.3  </w:t>
      </w:r>
      <w:r>
        <w:t>当基础底部的地基土由不同土层组成时，其影响深度应按下列规定确定：</w:t>
      </w:r>
    </w:p>
    <w:p w14:paraId="47680A7C">
      <w:pPr>
        <w:spacing w:before="156"/>
        <w:ind w:firstLine="482"/>
      </w:pPr>
      <w:r>
        <w:rPr>
          <w:b/>
        </w:rPr>
        <w:t>1</w:t>
      </w:r>
      <w:r>
        <w:t xml:space="preserve">  方形基础，宜按下式计算：</w:t>
      </w:r>
    </w:p>
    <w:p w14:paraId="7D670951">
      <w:pPr>
        <w:spacing w:before="156"/>
        <w:ind w:firstLine="480"/>
        <w:jc w:val="right"/>
      </w:pPr>
      <m:oMath>
        <m:sSub>
          <m:sSubPr>
            <m:ctrlPr>
              <w:rPr>
                <w:rFonts w:ascii="Cambria Math" w:hAnsi="Cambria Math"/>
              </w:rPr>
            </m:ctrlPr>
          </m:sSubPr>
          <m:e>
            <m:r>
              <m:rPr/>
              <w:rPr>
                <w:rFonts w:ascii="Cambria Math" w:hAnsi="Cambria Math"/>
              </w:rPr>
              <m:t>ℎ</m:t>
            </m:r>
            <m:ctrlPr>
              <w:rPr>
                <w:rFonts w:ascii="Cambria Math" w:hAnsi="Cambria Math"/>
              </w:rPr>
            </m:ctrlPr>
          </m:e>
          <m:sub>
            <m:r>
              <m:rPr>
                <m:sty m:val="p"/>
              </m:rPr>
              <w:rPr>
                <w:rFonts w:ascii="Cambria Math" w:hAnsi="Cambria Math"/>
              </w:rPr>
              <m:t>d</m:t>
            </m:r>
            <m:ctrlPr>
              <w:rPr>
                <w:rFonts w:ascii="Cambria Math" w:hAnsi="Cambria Math"/>
              </w:rPr>
            </m:ctrlPr>
          </m:sub>
        </m:sSub>
      </m:oMath>
      <w:r>
        <w:t>＝2</w:t>
      </w:r>
      <w:r>
        <w:rPr>
          <w:i/>
        </w:rPr>
        <w:t>b</w:t>
      </w:r>
      <w:r>
        <w:t xml:space="preserve">                      (4.3.3-1)</w:t>
      </w:r>
    </w:p>
    <w:p w14:paraId="74DD5332">
      <w:pPr>
        <w:spacing w:before="156"/>
        <w:ind w:firstLine="480"/>
      </w:pPr>
      <w:r>
        <w:t>式中：</w:t>
      </w:r>
      <m:oMath>
        <m:sSub>
          <m:sSubPr>
            <m:ctrlPr>
              <w:rPr>
                <w:rFonts w:ascii="Cambria Math" w:hAnsi="Cambria Math"/>
              </w:rPr>
            </m:ctrlPr>
          </m:sSubPr>
          <m:e>
            <m:r>
              <m:rPr/>
              <w:rPr>
                <w:rFonts w:ascii="Cambria Math" w:hAnsi="Cambria Math"/>
              </w:rPr>
              <m:t>ℎ</m:t>
            </m:r>
            <m:ctrlPr>
              <w:rPr>
                <w:rFonts w:ascii="Cambria Math" w:hAnsi="Cambria Math"/>
              </w:rPr>
            </m:ctrlPr>
          </m:e>
          <m:sub>
            <m:r>
              <m:rPr>
                <m:sty m:val="p"/>
              </m:rPr>
              <w:rPr>
                <w:rFonts w:ascii="Cambria Math" w:hAnsi="Cambria Math"/>
              </w:rPr>
              <m:t>d</m:t>
            </m:r>
            <m:ctrlPr>
              <w:rPr>
                <w:rFonts w:ascii="Cambria Math" w:hAnsi="Cambria Math"/>
              </w:rPr>
            </m:ctrlPr>
          </m:sub>
        </m:sSub>
      </m:oMath>
      <w:r>
        <w:t>——影响深度(m)；</w:t>
      </w:r>
    </w:p>
    <w:p w14:paraId="69CD9F38">
      <w:pPr>
        <w:spacing w:before="156"/>
        <w:ind w:left="780" w:firstLine="480"/>
      </w:pPr>
      <w:r>
        <w:rPr>
          <w:i/>
        </w:rPr>
        <w:t>b——</w:t>
      </w:r>
      <w:r>
        <w:t>方形基础的边长(m)。</w:t>
      </w:r>
    </w:p>
    <w:p w14:paraId="10622381">
      <w:pPr>
        <w:spacing w:before="156"/>
        <w:ind w:firstLine="482"/>
      </w:pPr>
      <w:r>
        <w:rPr>
          <w:b/>
        </w:rPr>
        <w:t>2</w:t>
      </w:r>
      <w:r>
        <w:t xml:space="preserve">  其他形状的基础，宜按下式计算：</w:t>
      </w:r>
    </w:p>
    <w:p w14:paraId="1FF8BE84">
      <w:pPr>
        <w:spacing w:before="156"/>
        <w:ind w:firstLine="480"/>
        <w:jc w:val="right"/>
      </w:pPr>
      <m:oMath>
        <m:sSub>
          <m:sSubPr>
            <m:ctrlPr>
              <w:rPr>
                <w:rFonts w:ascii="Cambria Math" w:hAnsi="Cambria Math"/>
              </w:rPr>
            </m:ctrlPr>
          </m:sSubPr>
          <m:e>
            <m:r>
              <m:rPr/>
              <w:rPr>
                <w:rFonts w:ascii="Cambria Math" w:hAnsi="Cambria Math"/>
              </w:rPr>
              <m:t>ℎ</m:t>
            </m:r>
            <m:ctrlPr>
              <w:rPr>
                <w:rFonts w:ascii="Cambria Math" w:hAnsi="Cambria Math"/>
              </w:rPr>
            </m:ctrlPr>
          </m:e>
          <m:sub>
            <m:r>
              <m:rPr>
                <m:sty m:val="p"/>
              </m:rPr>
              <w:rPr>
                <w:rFonts w:ascii="Cambria Math" w:hAnsi="Cambria Math"/>
              </w:rPr>
              <m:t>d</m:t>
            </m:r>
            <m:ctrlPr>
              <w:rPr>
                <w:rFonts w:ascii="Cambria Math" w:hAnsi="Cambria Math"/>
              </w:rPr>
            </m:ctrlPr>
          </m:sub>
        </m:sSub>
        <m:r>
          <m:rPr/>
          <w:rPr>
            <w:rFonts w:ascii="Cambria Math" w:hAnsi="Cambria Math"/>
          </w:rPr>
          <m:t>=2</m:t>
        </m:r>
        <m:rad>
          <m:radPr>
            <m:degHide m:val="1"/>
            <m:ctrlPr>
              <w:rPr>
                <w:rFonts w:ascii="Cambria Math" w:hAnsi="Cambria Math"/>
                <w:i/>
              </w:rPr>
            </m:ctrlPr>
          </m:radPr>
          <m:deg>
            <m:ctrlPr>
              <w:rPr>
                <w:rFonts w:ascii="Cambria Math" w:hAnsi="Cambria Math"/>
                <w:i/>
              </w:rPr>
            </m:ctrlPr>
          </m:deg>
          <m:e>
            <m:r>
              <m:rPr/>
              <w:rPr>
                <w:rFonts w:ascii="Cambria Math" w:hAnsi="Cambria Math"/>
              </w:rPr>
              <m:t>A</m:t>
            </m:r>
            <m:ctrlPr>
              <w:rPr>
                <w:rFonts w:ascii="Cambria Math" w:hAnsi="Cambria Math"/>
                <w:i/>
              </w:rPr>
            </m:ctrlPr>
          </m:e>
        </m:rad>
      </m:oMath>
      <w:r>
        <w:t xml:space="preserve">                    (4.3-2)</w:t>
      </w:r>
    </w:p>
    <w:p w14:paraId="24B19FB4">
      <w:pPr>
        <w:spacing w:before="156"/>
        <w:ind w:firstLine="480"/>
      </w:pPr>
      <w:r>
        <w:rPr>
          <w:rFonts w:hint="eastAsia"/>
        </w:rPr>
        <w:t>4.3</w:t>
      </w:r>
      <w:r>
        <w:t>.4</w:t>
      </w:r>
      <w:r>
        <w:rPr>
          <w:b/>
        </w:rPr>
        <w:t xml:space="preserve">  </w:t>
      </w:r>
      <w:r>
        <w:t>当基础对地基土影响深度范围内包含不同土层时（图3.4.4），其抗压刚度系数宜按下式计算：</w:t>
      </w:r>
    </w:p>
    <w:p w14:paraId="4D487662">
      <w:pPr>
        <w:spacing w:before="156"/>
        <w:ind w:firstLine="480"/>
        <w:jc w:val="right"/>
      </w:pPr>
      <w:r>
        <w:rPr>
          <w:position w:val="-128"/>
        </w:rPr>
        <w:object>
          <v:shape id="_x0000_i1025" o:spt="75" type="#_x0000_t75" style="height:66pt;width:136.5pt;" o:ole="t" filled="f" o:preferrelative="t" stroked="f" coordsize="21600,21600">
            <v:path/>
            <v:fill on="f" focussize="0,0"/>
            <v:stroke on="f" joinstyle="miter"/>
            <v:imagedata r:id="rId27" o:title=""/>
            <o:lock v:ext="edit" aspectratio="t"/>
            <w10:wrap type="none"/>
            <w10:anchorlock/>
          </v:shape>
          <o:OLEObject Type="Embed" ProgID="Equation.DSMT4" ShapeID="_x0000_i1025" DrawAspect="Content" ObjectID="_1468075725" r:id="rId26">
            <o:LockedField>false</o:LockedField>
          </o:OLEObject>
        </w:object>
      </w:r>
      <w:r>
        <w:t xml:space="preserve">               (4.3.4)</w:t>
      </w:r>
    </w:p>
    <w:p w14:paraId="6FF27E11">
      <w:pPr>
        <w:spacing w:before="156"/>
        <w:ind w:firstLine="480"/>
      </w:pPr>
      <w:r>
        <w:t>式中：</w:t>
      </w:r>
      <w:r>
        <w:rPr>
          <w:i/>
        </w:rPr>
        <w:t>C</w:t>
      </w:r>
      <w:r>
        <w:rPr>
          <w:vertAlign w:val="subscript"/>
        </w:rPr>
        <w:t>z</w:t>
      </w:r>
      <w:r>
        <w:t>——地基土抗压刚度系数(kN/m</w:t>
      </w:r>
      <w:r>
        <w:rPr>
          <w:vertAlign w:val="superscript"/>
        </w:rPr>
        <w:t>3</w:t>
      </w:r>
      <w:r>
        <w:t>)；</w:t>
      </w:r>
    </w:p>
    <w:p w14:paraId="44DB44AB">
      <w:pPr>
        <w:spacing w:before="156"/>
        <w:ind w:firstLine="480"/>
      </w:pPr>
      <w:r>
        <w:rPr>
          <w:i/>
        </w:rPr>
        <w:t>C</w:t>
      </w:r>
      <w:r>
        <w:rPr>
          <w:vertAlign w:val="subscript"/>
        </w:rPr>
        <w:t>z</w:t>
      </w:r>
      <w:r>
        <w:rPr>
          <w:i/>
          <w:vertAlign w:val="subscript"/>
        </w:rPr>
        <w:t>i</w:t>
      </w:r>
      <w:r>
        <w:t>——第</w:t>
      </w:r>
      <w:r>
        <w:rPr>
          <w:i/>
        </w:rPr>
        <w:t>i</w:t>
      </w:r>
      <w:r>
        <w:t>层土的抗压刚度系数(kN/m</w:t>
      </w:r>
      <w:r>
        <w:rPr>
          <w:vertAlign w:val="superscript"/>
        </w:rPr>
        <w:t>3</w:t>
      </w:r>
      <w:r>
        <w:t>)，可按本标准</w:t>
      </w:r>
      <w:r>
        <w:rPr>
          <w:rFonts w:hint="eastAsia"/>
        </w:rPr>
        <w:t>4.3</w:t>
      </w:r>
      <w:r>
        <w:t>.2条的规定确定；</w:t>
      </w:r>
    </w:p>
    <w:p w14:paraId="2AE61C94">
      <w:pPr>
        <w:spacing w:before="156"/>
        <w:ind w:firstLine="480"/>
      </w:pPr>
      <w:r>
        <w:rPr>
          <w:i/>
        </w:rPr>
        <w:t>h</w:t>
      </w:r>
      <w:r>
        <w:rPr>
          <w:i/>
          <w:vertAlign w:val="subscript"/>
        </w:rPr>
        <w:t>i</w:t>
      </w:r>
      <w:r>
        <w:t>——从基础底至</w:t>
      </w:r>
      <w:r>
        <w:rPr>
          <w:i/>
        </w:rPr>
        <w:t>i</w:t>
      </w:r>
      <w:r>
        <w:t>层土底面的深度(m)；</w:t>
      </w:r>
    </w:p>
    <w:p w14:paraId="58E3260B">
      <w:pPr>
        <w:spacing w:before="156"/>
        <w:ind w:firstLine="480"/>
      </w:pPr>
      <w:r>
        <w:rPr>
          <w:i/>
        </w:rPr>
        <w:t>h</w:t>
      </w:r>
      <w:r>
        <w:rPr>
          <w:i/>
          <w:vertAlign w:val="subscript"/>
        </w:rPr>
        <w:t>i</w:t>
      </w:r>
      <w:r>
        <w:rPr>
          <w:vertAlign w:val="subscript"/>
        </w:rPr>
        <w:t>-1</w:t>
      </w:r>
      <w:r>
        <w:t>——从基础底至</w:t>
      </w:r>
      <w:r>
        <w:rPr>
          <w:i/>
        </w:rPr>
        <w:t>i</w:t>
      </w:r>
      <w:r>
        <w:t>-1层土底面的深度(m)。</w:t>
      </w:r>
    </w:p>
    <w:p w14:paraId="1D374A64">
      <w:pPr>
        <w:pStyle w:val="39"/>
      </w:pPr>
      <w:r>
        <w:drawing>
          <wp:inline distT="0" distB="0" distL="0" distR="0">
            <wp:extent cx="3276600" cy="136779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8" cstate="print">
                      <a:extLst>
                        <a:ext uri="{28A0092B-C50C-407E-A947-70E740481C1C}">
                          <a14:useLocalDpi xmlns:a14="http://schemas.microsoft.com/office/drawing/2010/main" val="0"/>
                        </a:ext>
                      </a:extLst>
                    </a:blip>
                    <a:srcRect l="22031" t="44035" r="15788" b="24960"/>
                    <a:stretch>
                      <a:fillRect/>
                    </a:stretch>
                  </pic:blipFill>
                  <pic:spPr>
                    <a:xfrm>
                      <a:off x="0" y="0"/>
                      <a:ext cx="3279542" cy="1369472"/>
                    </a:xfrm>
                    <a:prstGeom prst="rect">
                      <a:avLst/>
                    </a:prstGeom>
                    <a:ln>
                      <a:noFill/>
                    </a:ln>
                  </pic:spPr>
                </pic:pic>
              </a:graphicData>
            </a:graphic>
          </wp:inline>
        </w:drawing>
      </w:r>
    </w:p>
    <w:p w14:paraId="76CF6EDF">
      <w:pPr>
        <w:pStyle w:val="39"/>
      </w:pPr>
      <w:r>
        <w:t>1-基础；2-地基</w:t>
      </w:r>
    </w:p>
    <w:p w14:paraId="6D2DA25C">
      <w:pPr>
        <w:pStyle w:val="39"/>
      </w:pPr>
      <w:r>
        <w:t>图</w:t>
      </w:r>
      <w:r>
        <w:rPr>
          <w:rFonts w:hint="eastAsia"/>
        </w:rPr>
        <w:t>4.3</w:t>
      </w:r>
      <w:r>
        <w:t>.4  分层土地基</w:t>
      </w:r>
    </w:p>
    <w:p w14:paraId="2156D0A0">
      <w:pPr>
        <w:spacing w:before="156"/>
        <w:ind w:firstLine="480"/>
      </w:pPr>
      <w:r>
        <w:rPr>
          <w:rFonts w:hint="eastAsia"/>
        </w:rPr>
        <w:t>4.3.5</w:t>
      </w:r>
      <w:r>
        <w:t xml:space="preserve"> 天然地基的抗压，应按下列公式计算：</w:t>
      </w:r>
    </w:p>
    <w:p w14:paraId="1A8E53C8">
      <w:pPr>
        <w:spacing w:before="156"/>
        <w:ind w:firstLine="480"/>
        <w:jc w:val="right"/>
      </w:pPr>
      <m:oMath>
        <m:sSub>
          <m:sSubPr>
            <m:ctrlPr>
              <w:rPr>
                <w:rFonts w:ascii="Cambria Math" w:hAnsi="Cambria Math"/>
              </w:rPr>
            </m:ctrlPr>
          </m:sSubPr>
          <m:e>
            <m:r>
              <m:rPr/>
              <w:rPr>
                <w:rFonts w:hint="eastAsia" w:ascii="Cambria Math" w:hAnsi="Cambria Math"/>
              </w:rPr>
              <m:t>K</m:t>
            </m:r>
            <m:ctrlPr>
              <w:rPr>
                <w:rFonts w:ascii="Cambria Math" w:hAnsi="Cambria Math"/>
              </w:rPr>
            </m:ctrlPr>
          </m:e>
          <m:sub>
            <m:r>
              <m:rPr/>
              <w:rPr>
                <w:rFonts w:ascii="Cambria Math" w:hAnsi="Cambria Math"/>
              </w:rPr>
              <m:t>z</m:t>
            </m:r>
            <m:ctrlPr>
              <w:rPr>
                <w:rFonts w:ascii="Cambria Math" w:hAnsi="Cambria Math"/>
              </w:rPr>
            </m:ctrlPr>
          </m:sub>
        </m:sSub>
        <m:r>
          <m:rPr/>
          <w:rPr>
            <w:rFonts w:ascii="Cambria Math" w:hAnsi="Cambria Math"/>
          </w:rPr>
          <m:t>=</m:t>
        </m:r>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z</m:t>
            </m:r>
            <m:ctrlPr>
              <w:rPr>
                <w:rFonts w:ascii="Cambria Math" w:hAnsi="Cambria Math"/>
                <w:i/>
              </w:rPr>
            </m:ctrlPr>
          </m:sub>
        </m:sSub>
        <m:r>
          <m:rPr/>
          <w:rPr>
            <w:rFonts w:ascii="Cambria Math" w:hAnsi="Cambria Math"/>
          </w:rPr>
          <m:t>A</m:t>
        </m:r>
      </m:oMath>
      <w:r>
        <w:tab/>
      </w:r>
      <w:r>
        <w:tab/>
      </w:r>
      <w:r>
        <w:t xml:space="preserve">    </w:t>
      </w:r>
      <w:r>
        <w:tab/>
      </w:r>
      <w:r>
        <w:tab/>
      </w:r>
      <w:r>
        <w:tab/>
      </w:r>
      <w:r>
        <w:tab/>
      </w:r>
      <w:r>
        <w:tab/>
      </w:r>
      <w:r>
        <w:t>(4.3.5)</w:t>
      </w:r>
    </w:p>
    <w:p w14:paraId="5EC45A01">
      <w:pPr>
        <w:spacing w:before="156"/>
        <w:ind w:firstLine="480"/>
      </w:pPr>
      <w:r>
        <w:t>式中：</w:t>
      </w:r>
      <m:oMath>
        <m:sSub>
          <m:sSubPr>
            <m:ctrlPr>
              <w:rPr>
                <w:rFonts w:ascii="Cambria Math" w:hAnsi="Cambria Math"/>
              </w:rPr>
            </m:ctrlPr>
          </m:sSubPr>
          <m:e>
            <m:r>
              <m:rPr/>
              <w:rPr>
                <w:rFonts w:hint="eastAsia" w:ascii="Cambria Math" w:hAnsi="Cambria Math"/>
              </w:rPr>
              <m:t>K</m:t>
            </m:r>
            <m:ctrlPr>
              <w:rPr>
                <w:rFonts w:ascii="Cambria Math" w:hAnsi="Cambria Math"/>
              </w:rPr>
            </m:ctrlPr>
          </m:e>
          <m:sub>
            <m:r>
              <m:rPr/>
              <w:rPr>
                <w:rFonts w:ascii="Cambria Math" w:hAnsi="Cambria Math"/>
              </w:rPr>
              <m:t>z</m:t>
            </m:r>
            <m:ctrlPr>
              <w:rPr>
                <w:rFonts w:ascii="Cambria Math" w:hAnsi="Cambria Math"/>
              </w:rPr>
            </m:ctrlPr>
          </m:sub>
        </m:sSub>
      </m:oMath>
      <w:r>
        <w:t>——天然地基沿z轴的抗压刚度（kN/m）；</w:t>
      </w:r>
    </w:p>
    <w:p w14:paraId="4242A6D2">
      <w:pPr>
        <w:spacing w:before="156"/>
        <w:ind w:left="780" w:firstLine="480"/>
      </w:pPr>
      <w:r>
        <w:t>A——基础底面积（</w:t>
      </w:r>
      <m:oMath>
        <m:sSup>
          <m:sSupPr>
            <m:ctrlPr>
              <w:rPr>
                <w:rFonts w:ascii="Cambria Math" w:hAnsi="Cambria Math"/>
              </w:rPr>
            </m:ctrlPr>
          </m:sSupPr>
          <m:e>
            <m:r>
              <m:rPr>
                <m:sty m:val="p"/>
              </m:rPr>
              <w:rPr>
                <w:rFonts w:ascii="Cambria Math" w:hAnsi="Cambria Math"/>
              </w:rPr>
              <m:t>m</m:t>
            </m:r>
            <m:ctrlPr>
              <w:rPr>
                <w:rFonts w:ascii="Cambria Math" w:hAnsi="Cambria Math"/>
              </w:rPr>
            </m:ctrlPr>
          </m:e>
          <m:sup>
            <m:r>
              <m:rPr>
                <m:sty m:val="p"/>
              </m:rPr>
              <w:rPr>
                <w:rFonts w:ascii="Cambria Math" w:hAnsi="Cambria Math"/>
              </w:rPr>
              <m:t>2</m:t>
            </m:r>
            <m:ctrlPr>
              <w:rPr>
                <w:rFonts w:ascii="Cambria Math" w:hAnsi="Cambria Math"/>
              </w:rPr>
            </m:ctrlPr>
          </m:sup>
        </m:sSup>
      </m:oMath>
      <w:r>
        <w:t>）；</w:t>
      </w:r>
    </w:p>
    <w:p w14:paraId="17D6CCF8">
      <w:pPr>
        <w:spacing w:before="156"/>
        <w:ind w:firstLine="480"/>
        <w:rPr>
          <w:b/>
        </w:rPr>
      </w:pPr>
      <w:r>
        <w:rPr>
          <w:rFonts w:hint="eastAsia"/>
          <w:szCs w:val="24"/>
        </w:rPr>
        <w:t>4.3.6</w:t>
      </w:r>
      <w:r>
        <w:rPr>
          <w:szCs w:val="24"/>
        </w:rPr>
        <w:t>　</w:t>
      </w:r>
      <w:r>
        <w:t>埋置基础的地基承载力特征值小于350kPa，且基础四周回填土与地基土的密度比不小于0.85时，其抗压刚度宜乘以提高系数，提高系数宜按下列公式计算：</w:t>
      </w:r>
    </w:p>
    <w:p w14:paraId="2681FDC4">
      <w:pPr>
        <w:spacing w:before="156"/>
        <w:ind w:firstLine="480"/>
        <w:jc w:val="right"/>
      </w:pPr>
      <w:r>
        <w:t>α</w:t>
      </w:r>
      <w:r>
        <w:rPr>
          <w:vertAlign w:val="subscript"/>
        </w:rPr>
        <w:t>z</w:t>
      </w:r>
      <w:r>
        <w:t>＝(1+0.4</w:t>
      </w:r>
      <w:r>
        <w:rPr>
          <w:i/>
        </w:rPr>
        <w:t>δ</w:t>
      </w:r>
      <w:r>
        <w:rPr>
          <w:vertAlign w:val="subscript"/>
        </w:rPr>
        <w:t>d</w:t>
      </w:r>
      <w:r>
        <w:t>)</w:t>
      </w:r>
      <w:r>
        <w:rPr>
          <w:vertAlign w:val="superscript"/>
        </w:rPr>
        <w:t>2</w:t>
      </w:r>
      <w:r>
        <w:t xml:space="preserve">                        (</w:t>
      </w:r>
      <w:r>
        <w:rPr>
          <w:rFonts w:hint="eastAsia"/>
        </w:rPr>
        <w:t>4.3.6</w:t>
      </w:r>
      <w:r>
        <w:t>-1)</w:t>
      </w:r>
    </w:p>
    <w:p w14:paraId="34777463">
      <w:pPr>
        <w:spacing w:before="156"/>
        <w:ind w:firstLine="480"/>
        <w:jc w:val="right"/>
      </w:pPr>
      <m:oMath>
        <m:sSub>
          <m:sSubPr>
            <m:ctrlPr>
              <w:rPr>
                <w:rFonts w:ascii="Cambria Math" w:hAnsi="Cambria Math"/>
                <w:vertAlign w:val="subscript"/>
              </w:rPr>
            </m:ctrlPr>
          </m:sSubPr>
          <m:e>
            <m:r>
              <m:rPr/>
              <w:rPr>
                <w:rFonts w:ascii="Cambria Math" w:hAnsi="Cambria Math"/>
              </w:rPr>
              <m:t>δ</m:t>
            </m:r>
            <m:ctrlPr>
              <w:rPr>
                <w:rFonts w:ascii="Cambria Math" w:hAnsi="Cambria Math"/>
                <w:vertAlign w:val="subscript"/>
              </w:rPr>
            </m:ctrlPr>
          </m:e>
          <m:sub>
            <m:r>
              <m:rPr>
                <m:sty m:val="p"/>
              </m:rPr>
              <w:rPr>
                <w:rFonts w:ascii="Cambria Math" w:hAnsi="Cambria Math"/>
                <w:vertAlign w:val="subscript"/>
              </w:rPr>
              <m:t>d</m:t>
            </m:r>
            <m:ctrlPr>
              <w:rPr>
                <w:rFonts w:ascii="Cambria Math" w:hAnsi="Cambria Math"/>
                <w:vertAlign w:val="subscript"/>
              </w:rPr>
            </m:ctrlPr>
          </m:sub>
        </m:sSub>
        <m:r>
          <m:rPr/>
          <w:rPr>
            <w:rFonts w:ascii="Cambria Math" w:hAnsi="Cambria Math"/>
            <w:vertAlign w:val="subscript"/>
          </w:rPr>
          <m:t>=</m:t>
        </m:r>
        <m:f>
          <m:fPr>
            <m:ctrlPr>
              <w:rPr>
                <w:rFonts w:ascii="Cambria Math" w:hAnsi="Cambria Math"/>
                <w:i/>
                <w:vertAlign w:val="subscript"/>
              </w:rPr>
            </m:ctrlPr>
          </m:fPr>
          <m:num>
            <m:sSub>
              <m:sSubPr>
                <m:ctrlPr>
                  <w:rPr>
                    <w:rFonts w:ascii="Cambria Math" w:hAnsi="Cambria Math"/>
                    <w:i/>
                    <w:vertAlign w:val="subscript"/>
                  </w:rPr>
                </m:ctrlPr>
              </m:sSubPr>
              <m:e>
                <m:r>
                  <m:rPr/>
                  <w:rPr>
                    <w:rFonts w:ascii="Cambria Math" w:hAnsi="Cambria Math"/>
                    <w:vertAlign w:val="subscript"/>
                  </w:rPr>
                  <m:t>ℎ</m:t>
                </m:r>
                <m:ctrlPr>
                  <w:rPr>
                    <w:rFonts w:ascii="Cambria Math" w:hAnsi="Cambria Math"/>
                    <w:i/>
                    <w:vertAlign w:val="subscript"/>
                  </w:rPr>
                </m:ctrlPr>
              </m:e>
              <m:sub>
                <m:r>
                  <m:rPr>
                    <m:sty m:val="p"/>
                  </m:rPr>
                  <w:rPr>
                    <w:rFonts w:ascii="Cambria Math" w:hAnsi="Cambria Math"/>
                    <w:vertAlign w:val="subscript"/>
                  </w:rPr>
                  <m:t>t</m:t>
                </m:r>
                <m:ctrlPr>
                  <w:rPr>
                    <w:rFonts w:ascii="Cambria Math" w:hAnsi="Cambria Math"/>
                    <w:i/>
                    <w:vertAlign w:val="subscript"/>
                  </w:rPr>
                </m:ctrlPr>
              </m:sub>
            </m:sSub>
            <m:ctrlPr>
              <w:rPr>
                <w:rFonts w:ascii="Cambria Math" w:hAnsi="Cambria Math"/>
                <w:i/>
                <w:vertAlign w:val="subscript"/>
              </w:rPr>
            </m:ctrlPr>
          </m:num>
          <m:den>
            <m:rad>
              <m:radPr>
                <m:degHide m:val="1"/>
                <m:ctrlPr>
                  <w:rPr>
                    <w:rFonts w:ascii="Cambria Math" w:hAnsi="Cambria Math"/>
                    <w:i/>
                    <w:vertAlign w:val="subscript"/>
                  </w:rPr>
                </m:ctrlPr>
              </m:radPr>
              <m:deg>
                <m:ctrlPr>
                  <w:rPr>
                    <w:rFonts w:ascii="Cambria Math" w:hAnsi="Cambria Math"/>
                    <w:i/>
                    <w:vertAlign w:val="subscript"/>
                  </w:rPr>
                </m:ctrlPr>
              </m:deg>
              <m:e>
                <m:r>
                  <m:rPr/>
                  <w:rPr>
                    <w:rFonts w:ascii="Cambria Math" w:hAnsi="Cambria Math"/>
                    <w:vertAlign w:val="subscript"/>
                  </w:rPr>
                  <m:t>A</m:t>
                </m:r>
                <m:ctrlPr>
                  <w:rPr>
                    <w:rFonts w:ascii="Cambria Math" w:hAnsi="Cambria Math"/>
                    <w:i/>
                    <w:vertAlign w:val="subscript"/>
                  </w:rPr>
                </m:ctrlPr>
              </m:e>
            </m:rad>
            <m:ctrlPr>
              <w:rPr>
                <w:rFonts w:ascii="Cambria Math" w:hAnsi="Cambria Math"/>
                <w:i/>
                <w:vertAlign w:val="subscript"/>
              </w:rPr>
            </m:ctrlPr>
          </m:den>
        </m:f>
      </m:oMath>
      <w:r>
        <w:t xml:space="preserve">                             (</w:t>
      </w:r>
      <w:r>
        <w:rPr>
          <w:rFonts w:hint="eastAsia"/>
        </w:rPr>
        <w:t>4.3.6</w:t>
      </w:r>
      <w:r>
        <w:t>-</w:t>
      </w:r>
      <w:r>
        <w:rPr>
          <w:rFonts w:hint="eastAsia"/>
        </w:rPr>
        <w:t>2</w:t>
      </w:r>
      <w:r>
        <w:t>)</w:t>
      </w:r>
    </w:p>
    <w:p w14:paraId="65B8B6CE">
      <w:pPr>
        <w:spacing w:before="156"/>
        <w:ind w:firstLine="480"/>
      </w:pPr>
      <w:r>
        <w:t>式中：α</w:t>
      </w:r>
      <w:r>
        <w:rPr>
          <w:vertAlign w:val="subscript"/>
        </w:rPr>
        <w:t xml:space="preserve">z </w:t>
      </w:r>
      <w:r>
        <w:t>——基础埋深作用对地基抗压刚度的提高系数；</w:t>
      </w:r>
    </w:p>
    <w:p w14:paraId="0091DBEF">
      <w:pPr>
        <w:spacing w:before="156"/>
        <w:ind w:left="780" w:firstLine="480"/>
      </w:pPr>
      <w:r>
        <w:rPr>
          <w:i/>
        </w:rPr>
        <w:t>δ</w:t>
      </w:r>
      <w:r>
        <w:rPr>
          <w:vertAlign w:val="subscript"/>
        </w:rPr>
        <w:t>d</w:t>
      </w:r>
      <w:r>
        <w:rPr>
          <w:bCs/>
        </w:rPr>
        <w:t>——</w:t>
      </w:r>
      <w:r>
        <w:t>基础埋深比，当</w:t>
      </w:r>
      <w:r>
        <w:rPr>
          <w:i/>
        </w:rPr>
        <w:t>δ</w:t>
      </w:r>
      <w:r>
        <w:rPr>
          <w:vertAlign w:val="subscript"/>
        </w:rPr>
        <w:t>d</w:t>
      </w:r>
      <w:r>
        <w:t>大于0.6时，取0.6；</w:t>
      </w:r>
    </w:p>
    <w:p w14:paraId="76AF104D">
      <w:pPr>
        <w:spacing w:before="156"/>
        <w:ind w:left="780" w:firstLine="480"/>
      </w:pPr>
      <m:oMath>
        <m:sSub>
          <m:sSubPr>
            <m:ctrlPr>
              <w:rPr>
                <w:rFonts w:ascii="Cambria Math" w:hAnsi="Cambria Math"/>
                <w:i/>
                <w:vertAlign w:val="subscript"/>
              </w:rPr>
            </m:ctrlPr>
          </m:sSubPr>
          <m:e>
            <m:r>
              <m:rPr/>
              <w:rPr>
                <w:rFonts w:ascii="Cambria Math" w:hAnsi="Cambria Math"/>
                <w:vertAlign w:val="subscript"/>
              </w:rPr>
              <m:t>ℎ</m:t>
            </m:r>
            <m:ctrlPr>
              <w:rPr>
                <w:rFonts w:ascii="Cambria Math" w:hAnsi="Cambria Math"/>
                <w:i/>
                <w:vertAlign w:val="subscript"/>
              </w:rPr>
            </m:ctrlPr>
          </m:e>
          <m:sub>
            <m:r>
              <m:rPr>
                <m:sty m:val="p"/>
              </m:rPr>
              <w:rPr>
                <w:rFonts w:ascii="Cambria Math" w:hAnsi="Cambria Math"/>
                <w:vertAlign w:val="subscript"/>
              </w:rPr>
              <m:t>t</m:t>
            </m:r>
            <m:ctrlPr>
              <w:rPr>
                <w:rFonts w:ascii="Cambria Math" w:hAnsi="Cambria Math"/>
                <w:i/>
                <w:vertAlign w:val="subscript"/>
              </w:rPr>
            </m:ctrlPr>
          </m:sub>
        </m:sSub>
      </m:oMath>
      <w:r>
        <w:rPr>
          <w:bCs/>
        </w:rPr>
        <w:t>——</w:t>
      </w:r>
      <w:r>
        <w:t>基础埋置深度(m)。</w:t>
      </w:r>
    </w:p>
    <w:p w14:paraId="72FD0D3E">
      <w:pPr>
        <w:spacing w:before="156"/>
        <w:ind w:firstLine="480"/>
      </w:pPr>
      <w:r>
        <w:t>4.3.</w:t>
      </w:r>
      <w:r>
        <w:rPr>
          <w:rFonts w:hint="eastAsia"/>
        </w:rPr>
        <w:t>7</w:t>
      </w:r>
      <w:r>
        <w:t xml:space="preserve">  天然地基的阻尼比，应按下列规定计算：</w:t>
      </w:r>
    </w:p>
    <w:p w14:paraId="70F1E813">
      <w:pPr>
        <w:spacing w:before="156"/>
        <w:ind w:firstLine="480"/>
      </w:pPr>
      <w:r>
        <w:t>1  竖向阻尼比，宜按下列公式计算：</w:t>
      </w:r>
    </w:p>
    <w:p w14:paraId="0B61181E">
      <w:pPr>
        <w:spacing w:before="156"/>
        <w:ind w:firstLine="480"/>
      </w:pPr>
      <w:r>
        <w:t>（1）  对于黏性土：</w:t>
      </w:r>
    </w:p>
    <w:p w14:paraId="26E6EA14">
      <w:pPr>
        <w:spacing w:before="156"/>
        <w:ind w:firstLine="480"/>
        <w:jc w:val="right"/>
      </w:pPr>
      <w:r>
        <w:t>ζ</w:t>
      </w:r>
      <w:r>
        <w:rPr>
          <w:vertAlign w:val="subscript"/>
        </w:rPr>
        <w:t xml:space="preserve">z </w:t>
      </w:r>
      <w:r>
        <w:t>=</w:t>
      </w:r>
      <m:oMath>
        <m:r>
          <m:rPr>
            <m:sty m:val="p"/>
          </m:rPr>
          <w:rPr>
            <w:rFonts w:ascii="Cambria Math" w:hAnsi="Cambria Math"/>
          </w:rPr>
          <m:t xml:space="preserve">  </m:t>
        </m:r>
        <m:f>
          <m:fPr>
            <m:ctrlPr>
              <w:rPr>
                <w:rFonts w:ascii="Cambria Math" w:hAnsi="Cambria Math"/>
                <w:i/>
              </w:rPr>
            </m:ctrlPr>
          </m:fPr>
          <m:num>
            <m:r>
              <m:rPr/>
              <w:rPr>
                <w:rFonts w:ascii="Cambria Math" w:hAnsi="Cambria Math"/>
              </w:rPr>
              <m:t>0.16</m:t>
            </m:r>
            <m:ctrlPr>
              <w:rPr>
                <w:rFonts w:ascii="Cambria Math" w:hAnsi="Cambria Math"/>
                <w:i/>
              </w:rPr>
            </m:ctrlPr>
          </m:num>
          <m:den>
            <m:rad>
              <m:radPr>
                <m:degHide m:val="1"/>
                <m:ctrlPr>
                  <w:rPr>
                    <w:rFonts w:ascii="Cambria Math" w:hAnsi="Cambria Math"/>
                    <w:i/>
                  </w:rPr>
                </m:ctrlPr>
              </m:radPr>
              <m:deg>
                <m:ctrlPr>
                  <w:rPr>
                    <w:rFonts w:ascii="Cambria Math" w:hAnsi="Cambria Math"/>
                    <w:i/>
                  </w:rPr>
                </m:ctrlPr>
              </m:deg>
              <m:e>
                <m:acc>
                  <m:accPr>
                    <m:chr m:val="̅"/>
                    <m:ctrlPr>
                      <w:rPr>
                        <w:rFonts w:ascii="Cambria Math" w:hAnsi="Cambria Math"/>
                        <w:i/>
                      </w:rPr>
                    </m:ctrlPr>
                  </m:accPr>
                  <m:e>
                    <m:r>
                      <m:rPr/>
                      <w:rPr>
                        <w:rFonts w:ascii="Cambria Math" w:hAnsi="Cambria Math"/>
                      </w:rPr>
                      <m:t>m</m:t>
                    </m:r>
                    <m:ctrlPr>
                      <w:rPr>
                        <w:rFonts w:ascii="Cambria Math" w:hAnsi="Cambria Math"/>
                        <w:i/>
                      </w:rPr>
                    </m:ctrlPr>
                  </m:e>
                </m:acc>
                <m:ctrlPr>
                  <w:rPr>
                    <w:rFonts w:ascii="Cambria Math" w:hAnsi="Cambria Math"/>
                    <w:i/>
                  </w:rPr>
                </m:ctrlPr>
              </m:e>
            </m:rad>
            <m:ctrlPr>
              <w:rPr>
                <w:rFonts w:ascii="Cambria Math" w:hAnsi="Cambria Math"/>
                <w:i/>
              </w:rPr>
            </m:ctrlPr>
          </m:den>
        </m:f>
      </m:oMath>
      <w:r>
        <w:t xml:space="preserve">                           (3.4.</w:t>
      </w:r>
      <w:r>
        <w:rPr>
          <w:rFonts w:hint="eastAsia"/>
        </w:rPr>
        <w:t>7</w:t>
      </w:r>
      <w:r>
        <w:t>-1)</w:t>
      </w:r>
    </w:p>
    <w:p w14:paraId="03AEB711">
      <w:pPr>
        <w:spacing w:before="156"/>
        <w:ind w:firstLine="480"/>
        <w:jc w:val="right"/>
      </w:pPr>
      <m:oMath>
        <m:acc>
          <m:accPr>
            <m:chr m:val="̅"/>
            <m:ctrlPr>
              <w:rPr>
                <w:rFonts w:ascii="Cambria Math" w:hAnsi="Cambria Math"/>
                <w:i/>
              </w:rPr>
            </m:ctrlPr>
          </m:accPr>
          <m:e>
            <m:r>
              <m:rPr/>
              <w:rPr>
                <w:rFonts w:ascii="Cambria Math" w:hAnsi="Cambria Math"/>
              </w:rPr>
              <m:t>m</m:t>
            </m:r>
            <m:ctrlPr>
              <w:rPr>
                <w:rFonts w:ascii="Cambria Math" w:hAnsi="Cambria Math"/>
                <w:i/>
              </w:rPr>
            </m:ctrlPr>
          </m:e>
        </m:acc>
      </m:oMath>
      <w:r>
        <w:t>=</w:t>
      </w:r>
      <m:oMath>
        <m:r>
          <m:rPr>
            <m:sty m:val="p"/>
          </m:rPr>
          <w:rPr>
            <w:rFonts w:ascii="Cambria Math" w:hAnsi="Cambria Math"/>
          </w:rPr>
          <m:t xml:space="preserve">  </m:t>
        </m:r>
        <m:f>
          <m:fPr>
            <m:ctrlPr>
              <w:rPr>
                <w:rFonts w:ascii="Cambria Math" w:hAnsi="Cambria Math"/>
              </w:rPr>
            </m:ctrlPr>
          </m:fPr>
          <m:num>
            <m:r>
              <m:rPr/>
              <w:rPr>
                <w:rFonts w:ascii="Cambria Math" w:hAnsi="Cambria Math"/>
              </w:rPr>
              <m:t>m</m:t>
            </m:r>
            <m:ctrlPr>
              <w:rPr>
                <w:rFonts w:ascii="Cambria Math" w:hAnsi="Cambria Math"/>
              </w:rPr>
            </m:ctrlPr>
          </m:num>
          <m:den>
            <m:r>
              <m:rPr/>
              <w:rPr>
                <w:rFonts w:ascii="Cambria Math" w:hAnsi="Cambria Math"/>
              </w:rPr>
              <m:t xml:space="preserve">ρA </m:t>
            </m:r>
            <m:rad>
              <m:radPr>
                <m:degHide m:val="1"/>
                <m:ctrlPr>
                  <w:rPr>
                    <w:rFonts w:ascii="Cambria Math" w:hAnsi="Cambria Math"/>
                    <w:i/>
                  </w:rPr>
                </m:ctrlPr>
              </m:radPr>
              <m:deg>
                <m:ctrlPr>
                  <w:rPr>
                    <w:rFonts w:ascii="Cambria Math" w:hAnsi="Cambria Math"/>
                    <w:i/>
                  </w:rPr>
                </m:ctrlPr>
              </m:deg>
              <m:e>
                <m:r>
                  <m:rPr/>
                  <w:rPr>
                    <w:rFonts w:ascii="Cambria Math" w:hAnsi="Cambria Math"/>
                  </w:rPr>
                  <m:t>A</m:t>
                </m:r>
                <m:ctrlPr>
                  <w:rPr>
                    <w:rFonts w:ascii="Cambria Math" w:hAnsi="Cambria Math"/>
                    <w:i/>
                  </w:rPr>
                </m:ctrlPr>
              </m:e>
            </m:rad>
            <m:ctrlPr>
              <w:rPr>
                <w:rFonts w:ascii="Cambria Math" w:hAnsi="Cambria Math"/>
              </w:rPr>
            </m:ctrlPr>
          </m:den>
        </m:f>
      </m:oMath>
      <w:r>
        <w:t xml:space="preserve">                          (3.4.</w:t>
      </w:r>
      <w:r>
        <w:rPr>
          <w:rFonts w:hint="eastAsia"/>
        </w:rPr>
        <w:t>7</w:t>
      </w:r>
      <w:r>
        <w:t>-2)</w:t>
      </w:r>
    </w:p>
    <w:p w14:paraId="60B1CAAF">
      <w:pPr>
        <w:spacing w:before="156"/>
        <w:ind w:firstLine="480"/>
      </w:pPr>
      <w:r>
        <w:t>（2）  对于砂土、粉土：</w:t>
      </w:r>
    </w:p>
    <w:p w14:paraId="1FB98EAB">
      <w:pPr>
        <w:spacing w:before="156"/>
        <w:ind w:firstLine="480"/>
        <w:jc w:val="right"/>
      </w:pPr>
      <w:r>
        <w:t>ζ</w:t>
      </w:r>
      <w:r>
        <w:rPr>
          <w:vertAlign w:val="subscript"/>
        </w:rPr>
        <w:t xml:space="preserve">z </w:t>
      </w:r>
      <w:r>
        <w:t>=</w:t>
      </w:r>
      <m:oMath>
        <m:r>
          <m:rPr>
            <m:sty m:val="p"/>
          </m:rPr>
          <w:rPr>
            <w:rFonts w:ascii="Cambria Math" w:hAnsi="Cambria Math"/>
          </w:rPr>
          <m:t xml:space="preserve">  </m:t>
        </m:r>
        <m:f>
          <m:fPr>
            <m:ctrlPr>
              <w:rPr>
                <w:rFonts w:ascii="Cambria Math" w:hAnsi="Cambria Math"/>
                <w:i/>
              </w:rPr>
            </m:ctrlPr>
          </m:fPr>
          <m:num>
            <m:r>
              <m:rPr/>
              <w:rPr>
                <w:rFonts w:ascii="Cambria Math" w:hAnsi="Cambria Math"/>
              </w:rPr>
              <m:t>0.11</m:t>
            </m:r>
            <m:ctrlPr>
              <w:rPr>
                <w:rFonts w:ascii="Cambria Math" w:hAnsi="Cambria Math"/>
                <w:i/>
              </w:rPr>
            </m:ctrlPr>
          </m:num>
          <m:den>
            <m:rad>
              <m:radPr>
                <m:degHide m:val="1"/>
                <m:ctrlPr>
                  <w:rPr>
                    <w:rFonts w:ascii="Cambria Math" w:hAnsi="Cambria Math"/>
                    <w:i/>
                  </w:rPr>
                </m:ctrlPr>
              </m:radPr>
              <m:deg>
                <m:ctrlPr>
                  <w:rPr>
                    <w:rFonts w:ascii="Cambria Math" w:hAnsi="Cambria Math"/>
                    <w:i/>
                  </w:rPr>
                </m:ctrlPr>
              </m:deg>
              <m:e>
                <m:acc>
                  <m:accPr>
                    <m:chr m:val="̅"/>
                    <m:ctrlPr>
                      <w:rPr>
                        <w:rFonts w:ascii="Cambria Math" w:hAnsi="Cambria Math"/>
                        <w:i/>
                      </w:rPr>
                    </m:ctrlPr>
                  </m:accPr>
                  <m:e>
                    <m:r>
                      <m:rPr/>
                      <w:rPr>
                        <w:rFonts w:ascii="Cambria Math" w:hAnsi="Cambria Math"/>
                      </w:rPr>
                      <m:t>m</m:t>
                    </m:r>
                    <m:ctrlPr>
                      <w:rPr>
                        <w:rFonts w:ascii="Cambria Math" w:hAnsi="Cambria Math"/>
                        <w:i/>
                      </w:rPr>
                    </m:ctrlPr>
                  </m:e>
                </m:acc>
                <m:ctrlPr>
                  <w:rPr>
                    <w:rFonts w:ascii="Cambria Math" w:hAnsi="Cambria Math"/>
                    <w:i/>
                  </w:rPr>
                </m:ctrlPr>
              </m:e>
            </m:rad>
            <m:ctrlPr>
              <w:rPr>
                <w:rFonts w:ascii="Cambria Math" w:hAnsi="Cambria Math"/>
                <w:i/>
              </w:rPr>
            </m:ctrlPr>
          </m:den>
        </m:f>
      </m:oMath>
      <w:r>
        <w:t xml:space="preserve">                           (3.4.</w:t>
      </w:r>
      <w:r>
        <w:rPr>
          <w:rFonts w:hint="eastAsia"/>
        </w:rPr>
        <w:t>7</w:t>
      </w:r>
      <w:r>
        <w:t>-3)</w:t>
      </w:r>
    </w:p>
    <w:p w14:paraId="2CA2E999">
      <w:pPr>
        <w:spacing w:before="156"/>
        <w:ind w:firstLine="480"/>
      </w:pPr>
      <w:r>
        <w:t>式中：ζ</w:t>
      </w:r>
      <w:r>
        <w:rPr>
          <w:vertAlign w:val="subscript"/>
        </w:rPr>
        <w:t xml:space="preserve">z </w:t>
      </w:r>
      <w:r>
        <w:t>——天然地基竖向阻尼比；</w:t>
      </w:r>
    </w:p>
    <w:p w14:paraId="00E86442">
      <w:pPr>
        <w:spacing w:before="156"/>
        <w:ind w:left="780" w:firstLine="480"/>
      </w:pPr>
      <m:oMath>
        <m:acc>
          <m:accPr>
            <m:chr m:val="̅"/>
            <m:ctrlPr>
              <w:rPr>
                <w:rFonts w:ascii="Cambria Math" w:hAnsi="Cambria Math"/>
                <w:i/>
              </w:rPr>
            </m:ctrlPr>
          </m:accPr>
          <m:e>
            <m:r>
              <m:rPr/>
              <w:rPr>
                <w:rFonts w:ascii="Cambria Math" w:hAnsi="Cambria Math"/>
              </w:rPr>
              <m:t>m</m:t>
            </m:r>
            <m:ctrlPr>
              <w:rPr>
                <w:rFonts w:ascii="Cambria Math" w:hAnsi="Cambria Math"/>
                <w:i/>
              </w:rPr>
            </m:ctrlPr>
          </m:e>
        </m:acc>
        <m:r>
          <m:rPr/>
          <w:rPr>
            <w:rFonts w:ascii="Cambria Math" w:hAnsi="Cambria Math"/>
          </w:rPr>
          <m:t xml:space="preserve"> </m:t>
        </m:r>
      </m:oMath>
      <w:r>
        <w:t>——基组质量比；</w:t>
      </w:r>
    </w:p>
    <w:p w14:paraId="6E5AEB00">
      <w:pPr>
        <w:spacing w:before="156"/>
        <w:ind w:left="780" w:firstLine="480"/>
      </w:pPr>
      <w:r>
        <w:rPr>
          <w:i/>
        </w:rPr>
        <w:t>m</w:t>
      </w:r>
      <w:r>
        <w:t>——基组的质量(t)；</w:t>
      </w:r>
    </w:p>
    <w:p w14:paraId="30F65397">
      <w:pPr>
        <w:spacing w:before="156"/>
        <w:ind w:left="780" w:firstLine="480"/>
      </w:pPr>
      <w:r>
        <w:rPr>
          <w:i/>
        </w:rPr>
        <w:t>ρ</w:t>
      </w:r>
      <w:r>
        <w:t>——地基土的密度(t/m</w:t>
      </w:r>
      <w:r>
        <w:rPr>
          <w:vertAlign w:val="superscript"/>
        </w:rPr>
        <w:t>3</w:t>
      </w:r>
      <w:r>
        <w:t>)。</w:t>
      </w:r>
    </w:p>
    <w:p w14:paraId="3EACE0D4">
      <w:pPr>
        <w:spacing w:before="156"/>
        <w:ind w:firstLine="480"/>
        <w:rPr>
          <w:b/>
        </w:rPr>
      </w:pPr>
      <w:r>
        <w:t>4.3.</w:t>
      </w:r>
      <w:r>
        <w:rPr>
          <w:rFonts w:hint="eastAsia"/>
        </w:rPr>
        <w:t>8</w:t>
      </w:r>
      <w:r>
        <w:t xml:space="preserve">  埋置基础的天然地基阻尼比，宜取明置基础的阻尼比乘以基础埋深作用对阻尼比的提高系数，阻尼比提高系数宜按下列公式计算：</w:t>
      </w:r>
    </w:p>
    <w:p w14:paraId="093A0C6C">
      <w:pPr>
        <w:wordWrap w:val="0"/>
        <w:spacing w:before="156"/>
        <w:ind w:firstLine="480"/>
        <w:jc w:val="right"/>
      </w:pPr>
      <w:r>
        <w:rPr>
          <w:i/>
        </w:rPr>
        <w:t>β</w:t>
      </w:r>
      <w:r>
        <w:rPr>
          <w:vertAlign w:val="subscript"/>
        </w:rPr>
        <w:t>z</w:t>
      </w:r>
      <w:r>
        <w:t>＝1＋</w:t>
      </w:r>
      <w:r>
        <w:rPr>
          <w:i/>
        </w:rPr>
        <w:t>δ</w:t>
      </w:r>
      <w:r>
        <w:rPr>
          <w:vertAlign w:val="subscript"/>
        </w:rPr>
        <w:t xml:space="preserve">d </w:t>
      </w:r>
      <w:r>
        <w:t xml:space="preserve">                     (3.4.</w:t>
      </w:r>
      <w:r>
        <w:rPr>
          <w:rFonts w:hint="eastAsia"/>
        </w:rPr>
        <w:t>8</w:t>
      </w:r>
      <w:r>
        <w:t>-1)</w:t>
      </w:r>
    </w:p>
    <w:p w14:paraId="49B33408">
      <w:pPr>
        <w:spacing w:before="156"/>
        <w:ind w:firstLine="480"/>
      </w:pPr>
      <w:r>
        <w:t>式中：</w:t>
      </w:r>
      <w:r>
        <w:rPr>
          <w:i/>
        </w:rPr>
        <w:t>β</w:t>
      </w:r>
      <w:r>
        <w:rPr>
          <w:vertAlign w:val="subscript"/>
        </w:rPr>
        <w:t>z</w:t>
      </w:r>
      <w:r>
        <w:t>——基础埋深作用对竖向阻尼比的提高系数；</w:t>
      </w:r>
    </w:p>
    <w:p w14:paraId="035D07D2">
      <w:pPr>
        <w:pStyle w:val="4"/>
        <w:spacing w:before="156"/>
      </w:pPr>
      <w:r>
        <w:fldChar w:fldCharType="begin"/>
      </w:r>
      <w:r>
        <w:instrText xml:space="preserve"> = 2 \* ROMAN </w:instrText>
      </w:r>
      <w:r>
        <w:fldChar w:fldCharType="separate"/>
      </w:r>
      <w:r>
        <w:t>II</w:t>
      </w:r>
      <w:r>
        <w:fldChar w:fldCharType="end"/>
      </w:r>
      <w:r>
        <w:t xml:space="preserve"> 桩基</w:t>
      </w:r>
    </w:p>
    <w:p w14:paraId="788858C0">
      <w:pPr>
        <w:spacing w:before="156"/>
        <w:ind w:firstLine="480"/>
      </w:pPr>
      <w:r>
        <w:t>4.3.</w:t>
      </w:r>
      <w:r>
        <w:rPr>
          <w:rFonts w:hint="eastAsia"/>
        </w:rPr>
        <w:t>9</w:t>
      </w:r>
      <w:r>
        <w:rPr>
          <w:b/>
        </w:rPr>
        <w:t xml:space="preserve"> </w:t>
      </w:r>
      <w:r>
        <w:t xml:space="preserve"> 桩基的动力参数取值，应符合下列规定：</w:t>
      </w:r>
    </w:p>
    <w:p w14:paraId="21C1A993">
      <w:pPr>
        <w:spacing w:before="156"/>
        <w:ind w:firstLine="482"/>
      </w:pPr>
      <w:r>
        <w:rPr>
          <w:b/>
        </w:rPr>
        <w:t>1</w:t>
      </w:r>
      <w:r>
        <w:t xml:space="preserve"> 预制桩或沉管灌注桩的动力参数宜由现场测试确定；当无测试条件时，宜按本标准第 3.4.1</w:t>
      </w:r>
      <w:r>
        <w:rPr>
          <w:rFonts w:hint="eastAsia"/>
        </w:rPr>
        <w:t>0</w:t>
      </w:r>
      <w:r>
        <w:t>～3.4.</w:t>
      </w:r>
      <w:r>
        <w:rPr>
          <w:rFonts w:hint="eastAsia"/>
        </w:rPr>
        <w:t>15</w:t>
      </w:r>
      <w:r>
        <w:t>条的规定确定。</w:t>
      </w:r>
    </w:p>
    <w:p w14:paraId="1D932E91">
      <w:pPr>
        <w:spacing w:before="156"/>
        <w:ind w:firstLine="482"/>
      </w:pPr>
      <w:r>
        <w:rPr>
          <w:b/>
        </w:rPr>
        <w:t>2</w:t>
      </w:r>
      <w:r>
        <w:t xml:space="preserve"> 钻孔灌注桩或其它桩型的动力参数</w:t>
      </w:r>
      <w:r>
        <w:rPr>
          <w:rFonts w:hint="eastAsia"/>
        </w:rPr>
        <w:t>宜</w:t>
      </w:r>
      <w:r>
        <w:t>由现场测试确定。</w:t>
      </w:r>
    </w:p>
    <w:p w14:paraId="326E3310">
      <w:pPr>
        <w:spacing w:before="156"/>
        <w:ind w:firstLine="482"/>
      </w:pPr>
      <w:r>
        <w:rPr>
          <w:b/>
        </w:rPr>
        <w:t>3</w:t>
      </w:r>
      <w:r>
        <w:t xml:space="preserve"> 桩基动力参数的测试方法应按现行国家标准《地基动力特性测试规范》GB/T50269的规定确定。</w:t>
      </w:r>
    </w:p>
    <w:p w14:paraId="48A9C41B">
      <w:pPr>
        <w:spacing w:before="156"/>
        <w:ind w:firstLine="480"/>
        <w:rPr>
          <w:b/>
        </w:rPr>
      </w:pPr>
      <w:r>
        <w:t>4.3.1</w:t>
      </w:r>
      <w:r>
        <w:rPr>
          <w:rFonts w:hint="eastAsia"/>
        </w:rPr>
        <w:t>0</w:t>
      </w:r>
      <w:r>
        <w:rPr>
          <w:b/>
        </w:rPr>
        <w:t xml:space="preserve"> </w:t>
      </w:r>
      <w:r>
        <w:t xml:space="preserve"> 桩基的抗压刚度，应按下列公式计算：</w:t>
      </w:r>
    </w:p>
    <w:p w14:paraId="33D50ABD">
      <w:pPr>
        <w:wordWrap w:val="0"/>
        <w:spacing w:before="156"/>
        <w:ind w:firstLine="480"/>
        <w:jc w:val="right"/>
      </w:pPr>
      <m:oMath>
        <m:sSub>
          <m:sSubPr>
            <m:ctrlPr>
              <w:rPr>
                <w:rFonts w:ascii="Cambria Math" w:hAnsi="Cambria Math"/>
              </w:rPr>
            </m:ctrlPr>
          </m:sSubPr>
          <m:e>
            <m:r>
              <m:rPr/>
              <w:rPr>
                <w:rFonts w:ascii="Cambria Math" w:hAnsi="Cambria Math"/>
              </w:rPr>
              <m:t>K</m:t>
            </m:r>
            <m:ctrlPr>
              <w:rPr>
                <w:rFonts w:ascii="Cambria Math" w:hAnsi="Cambria Math"/>
              </w:rPr>
            </m:ctrlPr>
          </m:e>
          <m:sub>
            <m:r>
              <m:rPr>
                <m:sty m:val="p"/>
              </m:rPr>
              <w:rPr>
                <w:rFonts w:ascii="Cambria Math" w:hAnsi="Cambria Math"/>
                <w:vertAlign w:val="subscript"/>
              </w:rPr>
              <m:t>pz</m:t>
            </m:r>
            <m:ctrlPr>
              <w:rPr>
                <w:rFonts w:ascii="Cambria Math" w:hAnsi="Cambria Math"/>
              </w:rPr>
            </m:ctrlPr>
          </m:sub>
        </m:sSub>
        <m:r>
          <m:rPr>
            <m:sty m:val="p"/>
          </m:rPr>
          <w:rPr>
            <w:rFonts w:ascii="Cambria Math" w:hAnsi="Cambria Math"/>
          </w:rPr>
          <m:t>=</m:t>
        </m:r>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vertAlign w:val="subscript"/>
              </w:rPr>
              <m:t>p</m:t>
            </m:r>
            <m:ctrlPr>
              <w:rPr>
                <w:rFonts w:ascii="Cambria Math" w:hAnsi="Cambria Math"/>
                <w:i/>
              </w:rPr>
            </m:ctrlPr>
          </m:sub>
        </m:sSub>
        <m:sSub>
          <m:sSubPr>
            <m:ctrlPr>
              <w:rPr>
                <w:rFonts w:ascii="Cambria Math" w:hAnsi="Cambria Math"/>
              </w:rPr>
            </m:ctrlPr>
          </m:sSubPr>
          <m:e>
            <m:r>
              <m:rPr/>
              <w:rPr>
                <w:rFonts w:ascii="Cambria Math" w:hAnsi="Cambria Math"/>
              </w:rPr>
              <m:t>k</m:t>
            </m:r>
            <m:ctrlPr>
              <w:rPr>
                <w:rFonts w:ascii="Cambria Math" w:hAnsi="Cambria Math"/>
              </w:rPr>
            </m:ctrlPr>
          </m:e>
          <m:sub>
            <m:r>
              <m:rPr>
                <m:sty m:val="p"/>
              </m:rPr>
              <w:rPr>
                <w:rFonts w:ascii="Cambria Math" w:hAnsi="Cambria Math"/>
                <w:vertAlign w:val="subscript"/>
              </w:rPr>
              <m:t>pz</m:t>
            </m:r>
            <m:ctrlPr>
              <w:rPr>
                <w:rFonts w:ascii="Cambria Math" w:hAnsi="Cambria Math"/>
              </w:rPr>
            </m:ctrlPr>
          </m:sub>
        </m:sSub>
      </m:oMath>
      <w:r>
        <w:t xml:space="preserve">                         (4.3.1</w:t>
      </w:r>
      <w:r>
        <w:rPr>
          <w:rFonts w:hint="eastAsia"/>
        </w:rPr>
        <w:t>0</w:t>
      </w:r>
      <w:r>
        <w:t>-1)</w:t>
      </w:r>
    </w:p>
    <w:p w14:paraId="0F09C0B7">
      <w:pPr>
        <w:spacing w:before="156"/>
        <w:ind w:firstLine="480"/>
        <w:jc w:val="right"/>
      </w:pPr>
      <w:r>
        <w:rPr>
          <w:position w:val="-28"/>
        </w:rPr>
        <w:object>
          <v:shape id="_x0000_i1026" o:spt="75" type="#_x0000_t75" style="height:34.5pt;width:114pt;" o:ole="t" filled="f" o:preferrelative="t" stroked="f" coordsize="21600,21600">
            <v:path/>
            <v:fill on="f" focussize="0,0"/>
            <v:stroke on="f" joinstyle="miter"/>
            <v:imagedata r:id="rId30" o:title=""/>
            <o:lock v:ext="edit" aspectratio="t"/>
            <w10:wrap type="none"/>
            <w10:anchorlock/>
          </v:shape>
          <o:OLEObject Type="Embed" ProgID="Equation.DSMT4" ShapeID="_x0000_i1026" DrawAspect="Content" ObjectID="_1468075726" r:id="rId29">
            <o:LockedField>false</o:LockedField>
          </o:OLEObject>
        </w:object>
      </w:r>
      <w:r>
        <w:t xml:space="preserve">                (4.3.1</w:t>
      </w:r>
      <w:r>
        <w:rPr>
          <w:rFonts w:hint="eastAsia"/>
        </w:rPr>
        <w:t>0</w:t>
      </w:r>
      <w:r>
        <w:t>-2)</w:t>
      </w:r>
    </w:p>
    <w:p w14:paraId="0432EDF9">
      <w:pPr>
        <w:spacing w:before="156"/>
        <w:ind w:firstLine="480"/>
      </w:pPr>
      <w:r>
        <w:t>式中：</w:t>
      </w:r>
      <w:r>
        <w:rPr>
          <w:i/>
        </w:rPr>
        <w:t>K</w:t>
      </w:r>
      <w:r>
        <w:rPr>
          <w:vertAlign w:val="subscript"/>
        </w:rPr>
        <w:t>pz</w:t>
      </w:r>
      <w:r>
        <w:t>——桩基抗压刚度(kN/m)；</w:t>
      </w:r>
    </w:p>
    <w:p w14:paraId="30E0137E">
      <w:pPr>
        <w:spacing w:before="156"/>
        <w:ind w:left="720" w:leftChars="300" w:firstLine="480"/>
      </w:pPr>
      <w:r>
        <w:rPr>
          <w:i/>
        </w:rPr>
        <w:t>k</w:t>
      </w:r>
      <w:r>
        <w:rPr>
          <w:vertAlign w:val="subscript"/>
        </w:rPr>
        <w:t>pz</w:t>
      </w:r>
      <w:r>
        <w:t>——单桩的抗压刚度(kN/m)；</w:t>
      </w:r>
    </w:p>
    <w:p w14:paraId="1F589ECB">
      <w:pPr>
        <w:spacing w:before="156"/>
        <w:ind w:left="720" w:leftChars="300" w:firstLine="480"/>
      </w:pPr>
      <w:r>
        <w:rPr>
          <w:i/>
        </w:rPr>
        <w:t>n</w:t>
      </w:r>
      <w:r>
        <w:rPr>
          <w:vertAlign w:val="subscript"/>
        </w:rPr>
        <w:t>p</w:t>
      </w:r>
      <w:r>
        <w:t>——桩数；</w:t>
      </w:r>
    </w:p>
    <w:p w14:paraId="25D0994E">
      <w:pPr>
        <w:spacing w:before="156"/>
        <w:ind w:left="720" w:leftChars="300" w:firstLine="480"/>
      </w:pPr>
      <w:r>
        <w:rPr>
          <w:i/>
        </w:rPr>
        <w:t>C</w:t>
      </w:r>
      <w:r>
        <w:rPr>
          <w:vertAlign w:val="subscript"/>
        </w:rPr>
        <w:t>pτ</w:t>
      </w:r>
      <w:r>
        <w:rPr>
          <w:i/>
          <w:vertAlign w:val="subscript"/>
        </w:rPr>
        <w:t>i</w:t>
      </w:r>
      <w:r>
        <w:t>——桩周第</w:t>
      </w:r>
      <w:r>
        <w:rPr>
          <w:i/>
        </w:rPr>
        <w:t>i</w:t>
      </w:r>
      <w:r>
        <w:t>层土的当量抗剪刚度系数(kN/m</w:t>
      </w:r>
      <w:r>
        <w:rPr>
          <w:vertAlign w:val="superscript"/>
        </w:rPr>
        <w:t>3</w:t>
      </w:r>
      <w:r>
        <w:t>)；</w:t>
      </w:r>
    </w:p>
    <w:p w14:paraId="4E960AB8">
      <w:pPr>
        <w:spacing w:before="156"/>
        <w:ind w:left="720" w:leftChars="300" w:firstLine="480"/>
      </w:pPr>
      <w:r>
        <w:rPr>
          <w:i/>
        </w:rPr>
        <w:t>A</w:t>
      </w:r>
      <w:r>
        <w:rPr>
          <w:vertAlign w:val="subscript"/>
        </w:rPr>
        <w:t>pτ</w:t>
      </w:r>
      <w:r>
        <w:rPr>
          <w:i/>
          <w:vertAlign w:val="subscript"/>
        </w:rPr>
        <w:t>i</w:t>
      </w:r>
      <w:r>
        <w:t>——第</w:t>
      </w:r>
      <w:r>
        <w:rPr>
          <w:i/>
        </w:rPr>
        <w:t>i</w:t>
      </w:r>
      <w:r>
        <w:t>层土的桩周表面积(m</w:t>
      </w:r>
      <w:r>
        <w:rPr>
          <w:vertAlign w:val="superscript"/>
        </w:rPr>
        <w:t>2</w:t>
      </w:r>
      <w:r>
        <w:t>)；</w:t>
      </w:r>
    </w:p>
    <w:p w14:paraId="6D261653">
      <w:pPr>
        <w:spacing w:before="156"/>
        <w:ind w:left="720" w:leftChars="300" w:firstLine="480"/>
      </w:pPr>
      <w:r>
        <w:rPr>
          <w:i/>
        </w:rPr>
        <w:t>C</w:t>
      </w:r>
      <w:r>
        <w:rPr>
          <w:vertAlign w:val="subscript"/>
        </w:rPr>
        <w:t>pz</w:t>
      </w:r>
      <w:r>
        <w:t>——桩端土的当量抗压刚度系数(kN/m</w:t>
      </w:r>
      <w:r>
        <w:rPr>
          <w:vertAlign w:val="superscript"/>
        </w:rPr>
        <w:t>3</w:t>
      </w:r>
      <w:r>
        <w:t>)；</w:t>
      </w:r>
    </w:p>
    <w:p w14:paraId="6933540D">
      <w:pPr>
        <w:spacing w:before="156"/>
        <w:ind w:left="720" w:leftChars="300" w:firstLine="480"/>
      </w:pPr>
      <w:r>
        <w:rPr>
          <w:i/>
        </w:rPr>
        <w:t>A</w:t>
      </w:r>
      <w:r>
        <w:rPr>
          <w:vertAlign w:val="subscript"/>
        </w:rPr>
        <w:t>p</w:t>
      </w:r>
      <w:r>
        <w:t>——桩的截面积(m</w:t>
      </w:r>
      <w:r>
        <w:rPr>
          <w:vertAlign w:val="superscript"/>
        </w:rPr>
        <w:t>2</w:t>
      </w:r>
      <w:r>
        <w:t>)。</w:t>
      </w:r>
    </w:p>
    <w:p w14:paraId="712C781F">
      <w:pPr>
        <w:spacing w:before="156"/>
        <w:ind w:firstLine="480"/>
      </w:pPr>
      <w:r>
        <w:t>4.3.1</w:t>
      </w:r>
      <w:r>
        <w:rPr>
          <w:rFonts w:hint="eastAsia"/>
        </w:rPr>
        <w:t>1</w:t>
      </w:r>
      <w:r>
        <w:rPr>
          <w:b/>
        </w:rPr>
        <w:t xml:space="preserve">  </w:t>
      </w:r>
      <w:r>
        <w:t>当桩的间距为桩的直径或截面边长的4倍～5倍时，桩周各土层的当量抗剪刚度系数C</w:t>
      </w:r>
      <w:r>
        <w:rPr>
          <w:vertAlign w:val="subscript"/>
        </w:rPr>
        <w:t>pτ</w:t>
      </w:r>
      <w:r>
        <w:t>，宜按表4.3.1</w:t>
      </w:r>
      <w:r>
        <w:rPr>
          <w:rFonts w:hint="eastAsia"/>
        </w:rPr>
        <w:t>1</w:t>
      </w:r>
      <w:r>
        <w:t>采用。</w:t>
      </w:r>
    </w:p>
    <w:p w14:paraId="520931B3">
      <w:pPr>
        <w:pStyle w:val="39"/>
      </w:pPr>
      <w:r>
        <w:t>表4.3.1</w:t>
      </w:r>
      <w:r>
        <w:rPr>
          <w:rFonts w:hint="eastAsia"/>
        </w:rPr>
        <w:t>1</w:t>
      </w:r>
      <w:r>
        <w:t xml:space="preserve"> 桩周土的当量抗剪刚度系数C</w:t>
      </w:r>
      <w:r>
        <w:rPr>
          <w:vertAlign w:val="subscript"/>
        </w:rPr>
        <w:t>pτ</w:t>
      </w:r>
      <w:r>
        <w:t>值(kN/m</w:t>
      </w:r>
      <w:r>
        <w:rPr>
          <w:vertAlign w:val="superscript"/>
        </w:rPr>
        <w:t>3</w:t>
      </w:r>
      <w:r>
        <w:t>)</w:t>
      </w:r>
    </w:p>
    <w:tbl>
      <w:tblPr>
        <w:tblStyle w:val="32"/>
        <w:tblW w:w="8928" w:type="dxa"/>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2549"/>
        <w:gridCol w:w="3402"/>
        <w:gridCol w:w="2977"/>
      </w:tblGrid>
      <w:tr w14:paraId="59EEE95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blHeader/>
        </w:trPr>
        <w:tc>
          <w:tcPr>
            <w:tcW w:w="2549" w:type="dxa"/>
            <w:vAlign w:val="center"/>
          </w:tcPr>
          <w:p w14:paraId="45C4845B">
            <w:pPr>
              <w:pStyle w:val="39"/>
            </w:pPr>
            <w:r>
              <w:t>土的名称</w:t>
            </w:r>
          </w:p>
        </w:tc>
        <w:tc>
          <w:tcPr>
            <w:tcW w:w="3402" w:type="dxa"/>
            <w:vAlign w:val="center"/>
          </w:tcPr>
          <w:p w14:paraId="1F167938">
            <w:pPr>
              <w:pStyle w:val="39"/>
            </w:pPr>
            <w:r>
              <w:t>土的状态</w:t>
            </w:r>
          </w:p>
        </w:tc>
        <w:tc>
          <w:tcPr>
            <w:tcW w:w="2977" w:type="dxa"/>
            <w:vAlign w:val="center"/>
          </w:tcPr>
          <w:p w14:paraId="3C350ADF">
            <w:pPr>
              <w:pStyle w:val="39"/>
            </w:pPr>
            <w:r>
              <w:t>当量抗剪刚度系数</w:t>
            </w:r>
            <w:r>
              <w:rPr>
                <w:i/>
              </w:rPr>
              <w:t>C</w:t>
            </w:r>
            <w:r>
              <w:rPr>
                <w:vertAlign w:val="subscript"/>
              </w:rPr>
              <w:t>pτ</w:t>
            </w:r>
          </w:p>
        </w:tc>
      </w:tr>
      <w:tr w14:paraId="3E3C3FD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2549" w:type="dxa"/>
            <w:vAlign w:val="center"/>
          </w:tcPr>
          <w:p w14:paraId="3D79E69A">
            <w:pPr>
              <w:pStyle w:val="39"/>
            </w:pPr>
            <w:r>
              <w:t>淤泥</w:t>
            </w:r>
          </w:p>
        </w:tc>
        <w:tc>
          <w:tcPr>
            <w:tcW w:w="3402" w:type="dxa"/>
            <w:vAlign w:val="center"/>
          </w:tcPr>
          <w:p w14:paraId="0890666F">
            <w:pPr>
              <w:pStyle w:val="39"/>
            </w:pPr>
            <w:r>
              <w:t>饱和</w:t>
            </w:r>
          </w:p>
        </w:tc>
        <w:tc>
          <w:tcPr>
            <w:tcW w:w="2977" w:type="dxa"/>
            <w:vAlign w:val="center"/>
          </w:tcPr>
          <w:p w14:paraId="26B6648D">
            <w:pPr>
              <w:pStyle w:val="39"/>
            </w:pPr>
            <w:r>
              <w:t>6000~7000</w:t>
            </w:r>
          </w:p>
        </w:tc>
      </w:tr>
      <w:tr w14:paraId="5BD582D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2549" w:type="dxa"/>
            <w:vAlign w:val="center"/>
          </w:tcPr>
          <w:p w14:paraId="286A64BD">
            <w:pPr>
              <w:pStyle w:val="39"/>
            </w:pPr>
            <w:r>
              <w:t>淤泥质土</w:t>
            </w:r>
          </w:p>
        </w:tc>
        <w:tc>
          <w:tcPr>
            <w:tcW w:w="3402" w:type="dxa"/>
            <w:vAlign w:val="center"/>
          </w:tcPr>
          <w:p w14:paraId="14A778A2">
            <w:pPr>
              <w:pStyle w:val="39"/>
            </w:pPr>
            <w:r>
              <w:t>天然含水量45%~50%</w:t>
            </w:r>
          </w:p>
        </w:tc>
        <w:tc>
          <w:tcPr>
            <w:tcW w:w="2977" w:type="dxa"/>
            <w:vAlign w:val="center"/>
          </w:tcPr>
          <w:p w14:paraId="77CBADBF">
            <w:pPr>
              <w:pStyle w:val="39"/>
            </w:pPr>
            <w:r>
              <w:t>8000</w:t>
            </w:r>
          </w:p>
        </w:tc>
      </w:tr>
      <w:tr w14:paraId="0F93C49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2549" w:type="dxa"/>
            <w:vMerge w:val="restart"/>
            <w:vAlign w:val="center"/>
          </w:tcPr>
          <w:p w14:paraId="2909D8D0">
            <w:pPr>
              <w:pStyle w:val="39"/>
            </w:pPr>
            <w:r>
              <w:t>黏性土</w:t>
            </w:r>
          </w:p>
        </w:tc>
        <w:tc>
          <w:tcPr>
            <w:tcW w:w="3402" w:type="dxa"/>
            <w:vAlign w:val="center"/>
          </w:tcPr>
          <w:p w14:paraId="79CF6173">
            <w:pPr>
              <w:pStyle w:val="39"/>
            </w:pPr>
            <w:r>
              <w:t>软塑</w:t>
            </w:r>
          </w:p>
        </w:tc>
        <w:tc>
          <w:tcPr>
            <w:tcW w:w="2977" w:type="dxa"/>
            <w:vAlign w:val="center"/>
          </w:tcPr>
          <w:p w14:paraId="23DA7A55">
            <w:pPr>
              <w:pStyle w:val="39"/>
            </w:pPr>
            <w:r>
              <w:t>7000~10000</w:t>
            </w:r>
          </w:p>
        </w:tc>
      </w:tr>
      <w:tr w14:paraId="12E1D51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2549" w:type="dxa"/>
            <w:vMerge w:val="continue"/>
            <w:vAlign w:val="center"/>
          </w:tcPr>
          <w:p w14:paraId="32EA2ADA">
            <w:pPr>
              <w:pStyle w:val="39"/>
            </w:pPr>
          </w:p>
        </w:tc>
        <w:tc>
          <w:tcPr>
            <w:tcW w:w="3402" w:type="dxa"/>
            <w:vAlign w:val="center"/>
          </w:tcPr>
          <w:p w14:paraId="5C7ABE0B">
            <w:pPr>
              <w:pStyle w:val="39"/>
            </w:pPr>
            <w:r>
              <w:t>可塑</w:t>
            </w:r>
          </w:p>
        </w:tc>
        <w:tc>
          <w:tcPr>
            <w:tcW w:w="2977" w:type="dxa"/>
            <w:vAlign w:val="center"/>
          </w:tcPr>
          <w:p w14:paraId="6BD98575">
            <w:pPr>
              <w:pStyle w:val="39"/>
            </w:pPr>
            <w:r>
              <w:t>10000~15000</w:t>
            </w:r>
          </w:p>
        </w:tc>
      </w:tr>
      <w:tr w14:paraId="5AC705C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2549" w:type="dxa"/>
            <w:vMerge w:val="continue"/>
            <w:vAlign w:val="center"/>
          </w:tcPr>
          <w:p w14:paraId="7CB78E84">
            <w:pPr>
              <w:pStyle w:val="39"/>
            </w:pPr>
          </w:p>
        </w:tc>
        <w:tc>
          <w:tcPr>
            <w:tcW w:w="3402" w:type="dxa"/>
            <w:vAlign w:val="center"/>
          </w:tcPr>
          <w:p w14:paraId="28E357A3">
            <w:pPr>
              <w:pStyle w:val="39"/>
            </w:pPr>
            <w:r>
              <w:t>硬塑</w:t>
            </w:r>
          </w:p>
        </w:tc>
        <w:tc>
          <w:tcPr>
            <w:tcW w:w="2977" w:type="dxa"/>
            <w:vAlign w:val="center"/>
          </w:tcPr>
          <w:p w14:paraId="34A5E175">
            <w:pPr>
              <w:pStyle w:val="39"/>
            </w:pPr>
            <w:r>
              <w:t>15000~25000</w:t>
            </w:r>
          </w:p>
        </w:tc>
      </w:tr>
      <w:tr w14:paraId="5D426CB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2549" w:type="dxa"/>
            <w:vAlign w:val="center"/>
          </w:tcPr>
          <w:p w14:paraId="203610BE">
            <w:pPr>
              <w:pStyle w:val="39"/>
            </w:pPr>
            <w:r>
              <w:t>粉土、粉砂、细砂</w:t>
            </w:r>
          </w:p>
        </w:tc>
        <w:tc>
          <w:tcPr>
            <w:tcW w:w="3402" w:type="dxa"/>
            <w:vAlign w:val="center"/>
          </w:tcPr>
          <w:p w14:paraId="552D1440">
            <w:pPr>
              <w:pStyle w:val="39"/>
            </w:pPr>
            <w:r>
              <w:t>稍密~中密</w:t>
            </w:r>
          </w:p>
        </w:tc>
        <w:tc>
          <w:tcPr>
            <w:tcW w:w="2977" w:type="dxa"/>
            <w:vAlign w:val="center"/>
          </w:tcPr>
          <w:p w14:paraId="3D6EC32D">
            <w:pPr>
              <w:pStyle w:val="39"/>
            </w:pPr>
            <w:r>
              <w:t>10000~15000</w:t>
            </w:r>
          </w:p>
        </w:tc>
      </w:tr>
      <w:tr w14:paraId="2191A1B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2549" w:type="dxa"/>
            <w:vAlign w:val="center"/>
          </w:tcPr>
          <w:p w14:paraId="58517A60">
            <w:pPr>
              <w:pStyle w:val="39"/>
            </w:pPr>
            <w:r>
              <w:t>中砂、粗砂、砾砂</w:t>
            </w:r>
          </w:p>
        </w:tc>
        <w:tc>
          <w:tcPr>
            <w:tcW w:w="3402" w:type="dxa"/>
            <w:vAlign w:val="center"/>
          </w:tcPr>
          <w:p w14:paraId="48D0A32B">
            <w:pPr>
              <w:pStyle w:val="39"/>
            </w:pPr>
            <w:r>
              <w:t>稍密~中密</w:t>
            </w:r>
          </w:p>
        </w:tc>
        <w:tc>
          <w:tcPr>
            <w:tcW w:w="2977" w:type="dxa"/>
            <w:vAlign w:val="center"/>
          </w:tcPr>
          <w:p w14:paraId="071090DA">
            <w:pPr>
              <w:pStyle w:val="39"/>
            </w:pPr>
            <w:r>
              <w:t>20000~25000</w:t>
            </w:r>
          </w:p>
        </w:tc>
      </w:tr>
      <w:tr w14:paraId="7659924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2549" w:type="dxa"/>
            <w:vMerge w:val="restart"/>
            <w:vAlign w:val="center"/>
          </w:tcPr>
          <w:p w14:paraId="6AF58487">
            <w:pPr>
              <w:pStyle w:val="39"/>
            </w:pPr>
            <w:r>
              <w:t>圆砾、卵石</w:t>
            </w:r>
          </w:p>
        </w:tc>
        <w:tc>
          <w:tcPr>
            <w:tcW w:w="3402" w:type="dxa"/>
            <w:vAlign w:val="center"/>
          </w:tcPr>
          <w:p w14:paraId="67EA1ED5">
            <w:pPr>
              <w:pStyle w:val="39"/>
            </w:pPr>
            <w:r>
              <w:t>稍密</w:t>
            </w:r>
          </w:p>
        </w:tc>
        <w:tc>
          <w:tcPr>
            <w:tcW w:w="2977" w:type="dxa"/>
            <w:vAlign w:val="center"/>
          </w:tcPr>
          <w:p w14:paraId="1BADD1E2">
            <w:pPr>
              <w:pStyle w:val="39"/>
            </w:pPr>
            <w:r>
              <w:t>15000~20000</w:t>
            </w:r>
          </w:p>
        </w:tc>
      </w:tr>
      <w:tr w14:paraId="7B55DD7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2549" w:type="dxa"/>
            <w:vMerge w:val="continue"/>
            <w:vAlign w:val="center"/>
          </w:tcPr>
          <w:p w14:paraId="654DC36C">
            <w:pPr>
              <w:pStyle w:val="39"/>
            </w:pPr>
          </w:p>
        </w:tc>
        <w:tc>
          <w:tcPr>
            <w:tcW w:w="3402" w:type="dxa"/>
            <w:vAlign w:val="center"/>
          </w:tcPr>
          <w:p w14:paraId="734EFC65">
            <w:pPr>
              <w:pStyle w:val="39"/>
            </w:pPr>
            <w:r>
              <w:t>中密</w:t>
            </w:r>
          </w:p>
        </w:tc>
        <w:tc>
          <w:tcPr>
            <w:tcW w:w="2977" w:type="dxa"/>
            <w:vAlign w:val="center"/>
          </w:tcPr>
          <w:p w14:paraId="383599B1">
            <w:pPr>
              <w:pStyle w:val="39"/>
            </w:pPr>
            <w:r>
              <w:t>20000~30000</w:t>
            </w:r>
          </w:p>
        </w:tc>
      </w:tr>
    </w:tbl>
    <w:p w14:paraId="5A4DA784">
      <w:pPr>
        <w:spacing w:before="156"/>
        <w:ind w:firstLine="480"/>
        <w:rPr>
          <w:b/>
        </w:rPr>
      </w:pPr>
      <w:r>
        <w:t>4.3.1</w:t>
      </w:r>
      <w:r>
        <w:rPr>
          <w:rFonts w:hint="eastAsia"/>
        </w:rPr>
        <w:t>2</w:t>
      </w:r>
      <w:r>
        <w:rPr>
          <w:b/>
        </w:rPr>
        <w:t xml:space="preserve">  </w:t>
      </w:r>
      <w:r>
        <w:t>计算桩基的固有频率和振动位移时，其竖向和水平回转向总质量及基组的总转动惯量，应按下列公式计算：</w:t>
      </w:r>
    </w:p>
    <w:p w14:paraId="70205CAD">
      <w:pPr>
        <w:spacing w:before="156"/>
        <w:ind w:firstLine="480"/>
        <w:jc w:val="right"/>
      </w:pPr>
      <w:r>
        <w:rPr>
          <w:position w:val="-14"/>
          <w:lang w:bidi="en-US"/>
        </w:rPr>
        <w:object>
          <v:shape id="_x0000_i1027" o:spt="75" type="#_x0000_t75" style="height:20.25pt;width:66pt;" o:ole="t" filled="f" o:preferrelative="t" stroked="f" coordsize="21600,21600">
            <v:path/>
            <v:fill on="f" focussize="0,0"/>
            <v:stroke on="f" joinstyle="miter"/>
            <v:imagedata r:id="rId32" o:title=""/>
            <o:lock v:ext="edit" aspectratio="t"/>
            <w10:wrap type="none"/>
            <w10:anchorlock/>
          </v:shape>
          <o:OLEObject Type="Embed" ProgID="Equation.DSMT4" ShapeID="_x0000_i1027" DrawAspect="Content" ObjectID="_1468075727" r:id="rId31">
            <o:LockedField>false</o:LockedField>
          </o:OLEObject>
        </w:object>
      </w:r>
      <w:r>
        <w:rPr>
          <w:lang w:bidi="en-US"/>
        </w:rPr>
        <w:tab/>
      </w:r>
      <w:r>
        <w:rPr>
          <w:lang w:bidi="en-US"/>
        </w:rPr>
        <w:t xml:space="preserve">    </w:t>
      </w:r>
      <w:r>
        <w:rPr>
          <w:lang w:bidi="en-US"/>
        </w:rPr>
        <w:tab/>
      </w:r>
      <w:r>
        <w:rPr>
          <w:lang w:bidi="en-US"/>
        </w:rPr>
        <w:t xml:space="preserve">        </w:t>
      </w:r>
      <w:r>
        <w:rPr>
          <w:lang w:bidi="en-US"/>
        </w:rPr>
        <w:tab/>
      </w:r>
      <w:r>
        <w:rPr>
          <w:lang w:bidi="en-US"/>
        </w:rPr>
        <w:tab/>
      </w:r>
      <w:r>
        <w:rPr>
          <w:lang w:bidi="en-US"/>
        </w:rPr>
        <w:tab/>
      </w:r>
      <w:r>
        <w:t>(4.3.1</w:t>
      </w:r>
      <w:r>
        <w:rPr>
          <w:rFonts w:hint="eastAsia"/>
        </w:rPr>
        <w:t>2</w:t>
      </w:r>
      <w:r>
        <w:t>-1)</w:t>
      </w:r>
    </w:p>
    <w:p w14:paraId="4D567E4B">
      <w:pPr>
        <w:spacing w:before="156"/>
        <w:ind w:firstLine="480"/>
        <w:jc w:val="right"/>
      </w:pPr>
      <w:r>
        <w:object>
          <v:shape id="_x0000_i1028" o:spt="75" type="#_x0000_t75" style="height:20.25pt;width:60.75pt;" o:ole="t" filled="f" o:preferrelative="t" stroked="f" coordsize="21600,21600">
            <v:path/>
            <v:fill on="f" focussize="0,0"/>
            <v:stroke on="f" joinstyle="miter"/>
            <v:imagedata r:id="rId34" o:title=""/>
            <o:lock v:ext="edit" aspectratio="t"/>
            <w10:wrap type="none"/>
            <w10:anchorlock/>
          </v:shape>
          <o:OLEObject Type="Embed" ProgID="Equation.DSMT4" ShapeID="_x0000_i1028" DrawAspect="Content" ObjectID="_1468075728" r:id="rId33">
            <o:LockedField>false</o:LockedField>
          </o:OLEObject>
        </w:object>
      </w:r>
      <w:r>
        <w:tab/>
      </w:r>
      <w:r>
        <w:tab/>
      </w:r>
      <w:r>
        <w:tab/>
      </w:r>
      <w:r>
        <w:t xml:space="preserve">     </w:t>
      </w:r>
      <w:r>
        <w:tab/>
      </w:r>
      <w:r>
        <w:tab/>
      </w:r>
      <w:r>
        <w:tab/>
      </w:r>
      <w:r>
        <w:tab/>
      </w:r>
      <w:r>
        <w:t>(4.3.1</w:t>
      </w:r>
      <w:r>
        <w:rPr>
          <w:rFonts w:hint="eastAsia"/>
        </w:rPr>
        <w:t>2</w:t>
      </w:r>
      <w:r>
        <w:t>-2)</w:t>
      </w:r>
    </w:p>
    <w:p w14:paraId="2690D892">
      <w:pPr>
        <w:spacing w:before="156"/>
        <w:ind w:firstLine="480"/>
        <w:rPr>
          <w:kern w:val="0"/>
          <w:lang w:bidi="en-US"/>
        </w:rPr>
      </w:pPr>
      <w:r>
        <w:rPr>
          <w:kern w:val="0"/>
          <w:lang w:bidi="en-US"/>
        </w:rPr>
        <w:t>式中：</w:t>
      </w:r>
      <m:oMath>
        <m:sSub>
          <m:sSubPr>
            <m:ctrlPr>
              <w:rPr>
                <w:rFonts w:ascii="Cambria Math" w:hAnsi="Cambria Math"/>
                <w:kern w:val="0"/>
                <w:lang w:bidi="en-US"/>
              </w:rPr>
            </m:ctrlPr>
          </m:sSubPr>
          <m:e>
            <m:r>
              <m:rPr/>
              <w:rPr>
                <w:rFonts w:ascii="Cambria Math" w:hAnsi="Cambria Math"/>
                <w:kern w:val="0"/>
                <w:lang w:bidi="en-US"/>
              </w:rPr>
              <m:t>m</m:t>
            </m:r>
            <m:ctrlPr>
              <w:rPr>
                <w:rFonts w:ascii="Cambria Math" w:hAnsi="Cambria Math"/>
                <w:kern w:val="0"/>
                <w:lang w:bidi="en-US"/>
              </w:rPr>
            </m:ctrlPr>
          </m:e>
          <m:sub>
            <m:r>
              <m:rPr/>
              <w:rPr>
                <w:rFonts w:ascii="Cambria Math" w:hAnsi="Cambria Math"/>
                <w:kern w:val="0"/>
                <w:lang w:bidi="en-US"/>
              </w:rPr>
              <m:t>pz</m:t>
            </m:r>
            <m:ctrlPr>
              <w:rPr>
                <w:rFonts w:ascii="Cambria Math" w:hAnsi="Cambria Math"/>
                <w:kern w:val="0"/>
                <w:lang w:bidi="en-US"/>
              </w:rPr>
            </m:ctrlPr>
          </m:sub>
        </m:sSub>
      </m:oMath>
      <w:r>
        <w:rPr>
          <w:kern w:val="0"/>
          <w:lang w:bidi="en-US"/>
        </w:rPr>
        <w:t>—桩基上基础沿z轴竖向振动质量（t）；</w:t>
      </w:r>
    </w:p>
    <w:p w14:paraId="1DD1258B">
      <w:pPr>
        <w:spacing w:before="156"/>
        <w:ind w:left="480" w:leftChars="200" w:firstLine="480"/>
        <w:rPr>
          <w:kern w:val="0"/>
          <w:lang w:bidi="en-US"/>
        </w:rPr>
      </w:pPr>
      <m:oMath>
        <m:r>
          <m:rPr/>
          <w:rPr>
            <w:rFonts w:ascii="Cambria Math" w:hAnsi="Cambria Math"/>
            <w:kern w:val="0"/>
            <w:lang w:bidi="en-US"/>
          </w:rPr>
          <m:t>m</m:t>
        </m:r>
      </m:oMath>
      <w:r>
        <w:rPr>
          <w:kern w:val="0"/>
          <w:lang w:bidi="en-US"/>
        </w:rPr>
        <w:t>——天然地基基组的质量（t）；</w:t>
      </w:r>
    </w:p>
    <w:p w14:paraId="7B9A15EE">
      <w:pPr>
        <w:spacing w:before="156"/>
        <w:ind w:left="480" w:leftChars="200" w:firstLine="480"/>
        <w:rPr>
          <w:kern w:val="0"/>
          <w:lang w:bidi="en-US"/>
        </w:rPr>
      </w:pPr>
      <m:oMath>
        <m:sSub>
          <m:sSubPr>
            <m:ctrlPr>
              <w:rPr>
                <w:rFonts w:ascii="Cambria Math" w:hAnsi="Cambria Math"/>
                <w:kern w:val="0"/>
                <w:lang w:bidi="en-US"/>
              </w:rPr>
            </m:ctrlPr>
          </m:sSubPr>
          <m:e>
            <m:r>
              <m:rPr/>
              <w:rPr>
                <w:rFonts w:ascii="Cambria Math" w:hAnsi="Cambria Math"/>
                <w:kern w:val="0"/>
                <w:lang w:bidi="en-US"/>
              </w:rPr>
              <m:t>m</m:t>
            </m:r>
            <m:ctrlPr>
              <w:rPr>
                <w:rFonts w:ascii="Cambria Math" w:hAnsi="Cambria Math"/>
                <w:kern w:val="0"/>
                <w:lang w:bidi="en-US"/>
              </w:rPr>
            </m:ctrlPr>
          </m:e>
          <m:sub>
            <m:r>
              <m:rPr/>
              <w:rPr>
                <w:rFonts w:hint="eastAsia" w:ascii="Cambria Math" w:hAnsi="Cambria Math"/>
                <w:kern w:val="0"/>
                <w:lang w:bidi="en-US"/>
              </w:rPr>
              <m:t>0</m:t>
            </m:r>
            <m:ctrlPr>
              <w:rPr>
                <w:rFonts w:ascii="Cambria Math" w:hAnsi="Cambria Math"/>
                <w:kern w:val="0"/>
                <w:lang w:bidi="en-US"/>
              </w:rPr>
            </m:ctrlPr>
          </m:sub>
        </m:sSub>
      </m:oMath>
      <w:r>
        <w:rPr>
          <w:kern w:val="0"/>
          <w:lang w:bidi="en-US"/>
        </w:rPr>
        <w:t>——竖向振动时桩和桩间土参加振动的当量质量（t）；</w:t>
      </w:r>
    </w:p>
    <w:p w14:paraId="61483825">
      <w:pPr>
        <w:spacing w:before="156"/>
        <w:ind w:left="480" w:leftChars="200" w:firstLine="480"/>
        <w:rPr>
          <w:kern w:val="0"/>
          <w:lang w:bidi="en-US"/>
        </w:rPr>
      </w:pPr>
      <m:oMath>
        <m:sSub>
          <m:sSubPr>
            <m:ctrlPr>
              <w:rPr>
                <w:rFonts w:ascii="Cambria Math" w:hAnsi="Cambria Math"/>
                <w:i/>
                <w:kern w:val="0"/>
                <w:lang w:bidi="en-US"/>
              </w:rPr>
            </m:ctrlPr>
          </m:sSubPr>
          <m:e>
            <m:r>
              <m:rPr/>
              <w:rPr>
                <w:rFonts w:ascii="Cambria Math" w:hAnsi="Cambria Math"/>
                <w:kern w:val="0"/>
                <w:lang w:bidi="en-US"/>
              </w:rPr>
              <m:t>l</m:t>
            </m:r>
            <m:ctrlPr>
              <w:rPr>
                <w:rFonts w:ascii="Cambria Math" w:hAnsi="Cambria Math"/>
                <w:i/>
                <w:kern w:val="0"/>
                <w:lang w:bidi="en-US"/>
              </w:rPr>
            </m:ctrlPr>
          </m:e>
          <m:sub>
            <m:r>
              <m:rPr/>
              <w:rPr>
                <w:rFonts w:ascii="Cambria Math" w:hAnsi="Cambria Math"/>
                <w:kern w:val="0"/>
                <w:lang w:bidi="en-US"/>
              </w:rPr>
              <m:t>t</m:t>
            </m:r>
            <m:ctrlPr>
              <w:rPr>
                <w:rFonts w:ascii="Cambria Math" w:hAnsi="Cambria Math"/>
                <w:i/>
                <w:kern w:val="0"/>
                <w:lang w:bidi="en-US"/>
              </w:rPr>
            </m:ctrlPr>
          </m:sub>
        </m:sSub>
      </m:oMath>
      <w:r>
        <w:rPr>
          <w:kern w:val="0"/>
          <w:lang w:bidi="en-US"/>
        </w:rPr>
        <w:t>——桩的折算长度（m）；</w:t>
      </w:r>
    </w:p>
    <w:p w14:paraId="2A9EBC3C">
      <w:pPr>
        <w:spacing w:before="156"/>
        <w:ind w:left="480" w:leftChars="200" w:firstLine="480"/>
        <w:rPr>
          <w:kern w:val="0"/>
          <w:lang w:bidi="en-US"/>
        </w:rPr>
      </w:pPr>
      <m:oMath>
        <m:r>
          <m:rPr/>
          <w:rPr>
            <w:rFonts w:ascii="Cambria Math" w:hAnsi="Cambria Math"/>
            <w:kern w:val="0"/>
            <w:lang w:bidi="en-US"/>
          </w:rPr>
          <m:t>b</m:t>
        </m:r>
      </m:oMath>
      <w:r>
        <w:rPr>
          <w:kern w:val="0"/>
          <w:lang w:bidi="en-US"/>
        </w:rPr>
        <w:t>——基础底面的宽度（m）；</w:t>
      </w:r>
    </w:p>
    <w:p w14:paraId="26A806A4">
      <w:pPr>
        <w:spacing w:before="156"/>
        <w:ind w:left="480" w:leftChars="200" w:firstLine="480"/>
        <w:rPr>
          <w:kern w:val="0"/>
          <w:lang w:bidi="en-US"/>
        </w:rPr>
      </w:pPr>
      <m:oMath>
        <m:r>
          <m:rPr/>
          <w:rPr>
            <w:rFonts w:ascii="Cambria Math" w:hAnsi="Cambria Math"/>
            <w:kern w:val="0"/>
            <w:lang w:bidi="en-US"/>
          </w:rPr>
          <m:t>d</m:t>
        </m:r>
      </m:oMath>
      <w:r>
        <w:rPr>
          <w:kern w:val="0"/>
          <w:lang w:bidi="en-US"/>
        </w:rPr>
        <w:t>——基础底面的长度（m）；</w:t>
      </w:r>
    </w:p>
    <w:p w14:paraId="171387F0">
      <w:pPr>
        <w:spacing w:before="156"/>
        <w:ind w:left="480" w:leftChars="200" w:firstLine="480"/>
        <w:rPr>
          <w:kern w:val="0"/>
          <w:lang w:bidi="en-US"/>
        </w:rPr>
      </w:pPr>
      <m:oMath>
        <m:sSub>
          <m:sSubPr>
            <m:ctrlPr>
              <w:rPr>
                <w:rFonts w:ascii="Cambria Math" w:hAnsi="Cambria Math"/>
                <w:kern w:val="0"/>
                <w:lang w:bidi="en-US"/>
              </w:rPr>
            </m:ctrlPr>
          </m:sSubPr>
          <m:e>
            <m:r>
              <w:rPr>
                <w:rFonts w:ascii="Cambria Math" w:hAnsi="Cambria Math"/>
                <w:kern w:val="0"/>
                <w:lang w:bidi="en-US"/>
              </w:rPr>
              <w:sym w:font="Symbol" w:char="F072"/>
            </m:r>
            <m:ctrlPr>
              <w:rPr>
                <w:rFonts w:ascii="Cambria Math" w:hAnsi="Cambria Math"/>
                <w:kern w:val="0"/>
                <w:lang w:bidi="en-US"/>
              </w:rPr>
            </m:ctrlPr>
          </m:e>
          <m:sub>
            <m:r>
              <m:rPr/>
              <w:rPr>
                <w:rFonts w:ascii="Cambria Math" w:hAnsi="Cambria Math"/>
                <w:kern w:val="0"/>
                <w:lang w:bidi="en-US"/>
              </w:rPr>
              <m:t>p</m:t>
            </m:r>
            <m:ctrlPr>
              <w:rPr>
                <w:rFonts w:ascii="Cambria Math" w:hAnsi="Cambria Math"/>
                <w:kern w:val="0"/>
                <w:lang w:bidi="en-US"/>
              </w:rPr>
            </m:ctrlPr>
          </m:sub>
        </m:sSub>
      </m:oMath>
      <w:r>
        <w:rPr>
          <w:kern w:val="0"/>
          <w:lang w:bidi="en-US"/>
        </w:rPr>
        <w:t>——桩和桩间土的混合密度（t/m</w:t>
      </w:r>
      <w:r>
        <w:rPr>
          <w:kern w:val="0"/>
          <w:vertAlign w:val="superscript"/>
          <w:lang w:bidi="en-US"/>
        </w:rPr>
        <w:t>3</w:t>
      </w:r>
      <w:r>
        <w:rPr>
          <w:kern w:val="0"/>
          <w:lang w:bidi="en-US"/>
        </w:rPr>
        <w:t>）；</w:t>
      </w:r>
    </w:p>
    <w:p w14:paraId="5EAA67F8">
      <w:pPr>
        <w:spacing w:before="156"/>
        <w:ind w:firstLine="480"/>
      </w:pPr>
      <w:r>
        <w:t>4.3.1</w:t>
      </w:r>
      <w:r>
        <w:rPr>
          <w:rFonts w:hint="eastAsia"/>
        </w:rPr>
        <w:t>3</w:t>
      </w:r>
      <w:r>
        <w:rPr>
          <w:b/>
        </w:rPr>
        <w:t xml:space="preserve">  </w:t>
      </w:r>
      <w:r>
        <w:t>桩的折算长度，宜按表4.3.1</w:t>
      </w:r>
      <w:r>
        <w:rPr>
          <w:rFonts w:hint="eastAsia"/>
        </w:rPr>
        <w:t>4</w:t>
      </w:r>
      <w:r>
        <w:t>采用。</w:t>
      </w:r>
    </w:p>
    <w:p w14:paraId="4A63821D">
      <w:pPr>
        <w:pStyle w:val="39"/>
      </w:pPr>
      <w:r>
        <w:t>表4.3.1</w:t>
      </w:r>
      <w:r>
        <w:rPr>
          <w:rFonts w:hint="eastAsia"/>
        </w:rPr>
        <w:t>3</w:t>
      </w:r>
      <w:r>
        <w:t xml:space="preserve">  桩的折算长度</w:t>
      </w:r>
      <w:r>
        <w:rPr>
          <w:i/>
        </w:rPr>
        <w:t>l</w:t>
      </w:r>
      <w:r>
        <w:rPr>
          <w:vertAlign w:val="subscript"/>
        </w:rPr>
        <w:t>t</w:t>
      </w:r>
    </w:p>
    <w:tbl>
      <w:tblPr>
        <w:tblStyle w:val="32"/>
        <w:tblW w:w="0" w:type="auto"/>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14:paraId="6816522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148" w:type="dxa"/>
          </w:tcPr>
          <w:p w14:paraId="66837763">
            <w:pPr>
              <w:pStyle w:val="39"/>
            </w:pPr>
            <w:r>
              <w:t>桩的入土深度（m）</w:t>
            </w:r>
          </w:p>
        </w:tc>
        <w:tc>
          <w:tcPr>
            <w:tcW w:w="4148" w:type="dxa"/>
          </w:tcPr>
          <w:p w14:paraId="5C87FD89">
            <w:pPr>
              <w:pStyle w:val="39"/>
            </w:pPr>
            <w:r>
              <w:t>桩的折算长度（m）</w:t>
            </w:r>
          </w:p>
        </w:tc>
      </w:tr>
      <w:tr w14:paraId="6496352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148" w:type="dxa"/>
          </w:tcPr>
          <w:p w14:paraId="3B5B6748">
            <w:pPr>
              <w:pStyle w:val="39"/>
            </w:pPr>
            <w:r>
              <w:t>≤10</w:t>
            </w:r>
          </w:p>
        </w:tc>
        <w:tc>
          <w:tcPr>
            <w:tcW w:w="4148" w:type="dxa"/>
          </w:tcPr>
          <w:p w14:paraId="3C961451">
            <w:pPr>
              <w:pStyle w:val="39"/>
            </w:pPr>
            <w:r>
              <w:t>1.8</w:t>
            </w:r>
          </w:p>
        </w:tc>
      </w:tr>
      <w:tr w14:paraId="14DAE12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148" w:type="dxa"/>
          </w:tcPr>
          <w:p w14:paraId="7180F453">
            <w:pPr>
              <w:pStyle w:val="39"/>
            </w:pPr>
            <w:r>
              <w:t>≥15</w:t>
            </w:r>
          </w:p>
        </w:tc>
        <w:tc>
          <w:tcPr>
            <w:tcW w:w="4148" w:type="dxa"/>
          </w:tcPr>
          <w:p w14:paraId="7B29FCF9">
            <w:pPr>
              <w:pStyle w:val="39"/>
            </w:pPr>
            <w:r>
              <w:t>2.4</w:t>
            </w:r>
          </w:p>
        </w:tc>
      </w:tr>
    </w:tbl>
    <w:p w14:paraId="2BFC8962">
      <w:pPr>
        <w:spacing w:before="156" w:after="200"/>
        <w:ind w:left="480" w:right="198" w:hanging="480" w:hangingChars="200"/>
        <w:jc w:val="left"/>
        <w:rPr>
          <w:rFonts w:cs="Times New Roman"/>
          <w:sz w:val="28"/>
          <w:szCs w:val="28"/>
        </w:rPr>
      </w:pPr>
      <w:r>
        <w:rPr>
          <w:rFonts w:cs="Times New Roman"/>
          <w:szCs w:val="24"/>
        </w:rPr>
        <w:t>注：当桩的入土深度为10m～15m 之间时，可采用插入法计算桩的折算长度。</w:t>
      </w:r>
    </w:p>
    <w:p w14:paraId="3A4BC8F5">
      <w:pPr>
        <w:spacing w:before="156"/>
        <w:ind w:firstLine="480"/>
        <w:rPr>
          <w:b/>
        </w:rPr>
      </w:pPr>
      <w:r>
        <w:t>4.3.</w:t>
      </w:r>
      <w:r>
        <w:rPr>
          <w:rFonts w:hint="eastAsia"/>
        </w:rPr>
        <w:t>14</w:t>
      </w:r>
      <w:r>
        <w:rPr>
          <w:b/>
        </w:rPr>
        <w:t xml:space="preserve"> </w:t>
      </w:r>
      <w:r>
        <w:t>桩基竖向阻尼比，宜按下列公式计算：</w:t>
      </w:r>
    </w:p>
    <w:p w14:paraId="08693E04">
      <w:pPr>
        <w:spacing w:before="156"/>
        <w:ind w:firstLine="480"/>
      </w:pPr>
      <w:r>
        <w:t>1）桩基承台底为黏性土时：</w:t>
      </w:r>
    </w:p>
    <w:p w14:paraId="487CDF38">
      <w:pPr>
        <w:spacing w:before="156"/>
        <w:ind w:firstLine="480"/>
        <w:jc w:val="right"/>
      </w:pPr>
      <m:oMath>
        <m:sSub>
          <m:sSubPr>
            <m:ctrlPr>
              <w:rPr>
                <w:rFonts w:ascii="Cambria Math" w:hAnsi="Cambria Math"/>
                <w:i/>
              </w:rPr>
            </m:ctrlPr>
          </m:sSubPr>
          <m:e>
            <m:r>
              <m:rPr/>
              <w:rPr>
                <w:rFonts w:ascii="Cambria Math" w:hAnsi="Cambria Math"/>
              </w:rPr>
              <m:t>ζ</m:t>
            </m:r>
            <m:ctrlPr>
              <w:rPr>
                <w:rFonts w:ascii="Cambria Math" w:hAnsi="Cambria Math"/>
                <w:i/>
              </w:rPr>
            </m:ctrlPr>
          </m:e>
          <m:sub>
            <m:r>
              <m:rPr/>
              <w:rPr>
                <w:rFonts w:hint="eastAsia" w:ascii="Cambria Math" w:hAnsi="Cambria Math"/>
              </w:rPr>
              <m:t>pz</m:t>
            </m:r>
            <m:ctrlPr>
              <w:rPr>
                <w:rFonts w:ascii="Cambria Math" w:hAnsi="Cambria Math"/>
                <w:i/>
              </w:rPr>
            </m:ctrlPr>
          </m:sub>
        </m:sSub>
        <m:r>
          <m:rPr>
            <m:sty m:val="p"/>
          </m:rPr>
          <w:rPr>
            <w:rFonts w:ascii="Cambria Math" w:hAnsi="Cambria Math"/>
          </w:rPr>
          <m:t>=</m:t>
        </m:r>
        <m:f>
          <m:fPr>
            <m:ctrlPr>
              <w:rPr>
                <w:rFonts w:ascii="Cambria Math" w:hAnsi="Cambria Math"/>
              </w:rPr>
            </m:ctrlPr>
          </m:fPr>
          <m:num>
            <m:r>
              <m:rPr/>
              <w:rPr>
                <w:rFonts w:ascii="Cambria Math" w:hAnsi="Cambria Math"/>
              </w:rPr>
              <m:t>0.20</m:t>
            </m:r>
            <m:ctrlPr>
              <w:rPr>
                <w:rFonts w:ascii="Cambria Math" w:hAnsi="Cambria Math"/>
              </w:rPr>
            </m:ctrlPr>
          </m:num>
          <m:den>
            <m:rad>
              <m:radPr>
                <m:degHide m:val="1"/>
                <m:ctrlPr>
                  <w:rPr>
                    <w:rFonts w:ascii="Cambria Math" w:hAnsi="Cambria Math"/>
                    <w:i/>
                  </w:rPr>
                </m:ctrlPr>
              </m:radPr>
              <m:deg>
                <m:ctrlPr>
                  <w:rPr>
                    <w:rFonts w:ascii="Cambria Math" w:hAnsi="Cambria Math"/>
                    <w:i/>
                  </w:rPr>
                </m:ctrlPr>
              </m:deg>
              <m:e>
                <m:acc>
                  <m:accPr>
                    <m:chr m:val="̅"/>
                    <m:ctrlPr>
                      <w:rPr>
                        <w:rFonts w:ascii="Cambria Math" w:hAnsi="Cambria Math"/>
                        <w:i/>
                      </w:rPr>
                    </m:ctrlPr>
                  </m:accPr>
                  <m:e>
                    <m:r>
                      <m:rPr/>
                      <w:rPr>
                        <w:rFonts w:ascii="Cambria Math" w:hAnsi="Cambria Math"/>
                      </w:rPr>
                      <m:t>m</m:t>
                    </m:r>
                    <m:ctrlPr>
                      <w:rPr>
                        <w:rFonts w:ascii="Cambria Math" w:hAnsi="Cambria Math"/>
                        <w:i/>
                      </w:rPr>
                    </m:ctrlPr>
                  </m:e>
                </m:acc>
                <m:ctrlPr>
                  <w:rPr>
                    <w:rFonts w:ascii="Cambria Math" w:hAnsi="Cambria Math"/>
                    <w:i/>
                  </w:rPr>
                </m:ctrlPr>
              </m:e>
            </m:rad>
            <m:ctrlPr>
              <w:rPr>
                <w:rFonts w:ascii="Cambria Math" w:hAnsi="Cambria Math"/>
              </w:rPr>
            </m:ctrlPr>
          </m:den>
        </m:f>
      </m:oMath>
      <w:r>
        <w:t xml:space="preserve">                         (4.3.</w:t>
      </w:r>
      <w:r>
        <w:rPr>
          <w:rFonts w:hint="eastAsia"/>
        </w:rPr>
        <w:t>14</w:t>
      </w:r>
      <w:r>
        <w:t>-1)</w:t>
      </w:r>
    </w:p>
    <w:p w14:paraId="798C30EC">
      <w:pPr>
        <w:spacing w:before="156"/>
        <w:ind w:firstLine="480"/>
      </w:pPr>
      <w:r>
        <w:t>2）桩基承台底为砂土、粉土时：</w:t>
      </w:r>
    </w:p>
    <w:p w14:paraId="123DB5D0">
      <w:pPr>
        <w:spacing w:before="156"/>
        <w:ind w:firstLine="480"/>
        <w:jc w:val="right"/>
      </w:pPr>
      <m:oMath>
        <m:sSub>
          <m:sSubPr>
            <m:ctrlPr>
              <w:rPr>
                <w:rFonts w:ascii="Cambria Math" w:hAnsi="Cambria Math"/>
                <w:i/>
              </w:rPr>
            </m:ctrlPr>
          </m:sSubPr>
          <m:e>
            <m:r>
              <m:rPr/>
              <w:rPr>
                <w:rFonts w:ascii="Cambria Math" w:hAnsi="Cambria Math"/>
              </w:rPr>
              <m:t>ζ</m:t>
            </m:r>
            <m:ctrlPr>
              <w:rPr>
                <w:rFonts w:ascii="Cambria Math" w:hAnsi="Cambria Math"/>
                <w:i/>
              </w:rPr>
            </m:ctrlPr>
          </m:e>
          <m:sub>
            <m:r>
              <m:rPr>
                <m:sty m:val="p"/>
              </m:rPr>
              <w:rPr>
                <w:rFonts w:ascii="Cambria Math" w:hAnsi="Cambria Math"/>
                <w:vertAlign w:val="subscript"/>
              </w:rPr>
              <m:t>pz</m:t>
            </m:r>
            <m:ctrlPr>
              <w:rPr>
                <w:rFonts w:ascii="Cambria Math" w:hAnsi="Cambria Math"/>
                <w:i/>
              </w:rPr>
            </m:ctrlPr>
          </m:sub>
        </m:sSub>
        <m:r>
          <m:rPr>
            <m:sty m:val="p"/>
          </m:rPr>
          <w:rPr>
            <w:rFonts w:ascii="Cambria Math" w:hAnsi="Cambria Math"/>
          </w:rPr>
          <m:t>=</m:t>
        </m:r>
        <m:f>
          <m:fPr>
            <m:ctrlPr>
              <w:rPr>
                <w:rFonts w:ascii="Cambria Math" w:hAnsi="Cambria Math"/>
              </w:rPr>
            </m:ctrlPr>
          </m:fPr>
          <m:num>
            <m:r>
              <m:rPr/>
              <w:rPr>
                <w:rFonts w:ascii="Cambria Math" w:hAnsi="Cambria Math"/>
              </w:rPr>
              <m:t>0.14</m:t>
            </m:r>
            <m:ctrlPr>
              <w:rPr>
                <w:rFonts w:ascii="Cambria Math" w:hAnsi="Cambria Math"/>
              </w:rPr>
            </m:ctrlPr>
          </m:num>
          <m:den>
            <m:rad>
              <m:radPr>
                <m:degHide m:val="1"/>
                <m:ctrlPr>
                  <w:rPr>
                    <w:rFonts w:ascii="Cambria Math" w:hAnsi="Cambria Math"/>
                    <w:i/>
                  </w:rPr>
                </m:ctrlPr>
              </m:radPr>
              <m:deg>
                <m:ctrlPr>
                  <w:rPr>
                    <w:rFonts w:ascii="Cambria Math" w:hAnsi="Cambria Math"/>
                    <w:i/>
                  </w:rPr>
                </m:ctrlPr>
              </m:deg>
              <m:e>
                <m:acc>
                  <m:accPr>
                    <m:chr m:val="̅"/>
                    <m:ctrlPr>
                      <w:rPr>
                        <w:rFonts w:ascii="Cambria Math" w:hAnsi="Cambria Math"/>
                        <w:i/>
                      </w:rPr>
                    </m:ctrlPr>
                  </m:accPr>
                  <m:e>
                    <m:r>
                      <m:rPr/>
                      <w:rPr>
                        <w:rFonts w:ascii="Cambria Math" w:hAnsi="Cambria Math"/>
                      </w:rPr>
                      <m:t>m</m:t>
                    </m:r>
                    <m:ctrlPr>
                      <w:rPr>
                        <w:rFonts w:ascii="Cambria Math" w:hAnsi="Cambria Math"/>
                        <w:i/>
                      </w:rPr>
                    </m:ctrlPr>
                  </m:e>
                </m:acc>
                <m:ctrlPr>
                  <w:rPr>
                    <w:rFonts w:ascii="Cambria Math" w:hAnsi="Cambria Math"/>
                    <w:i/>
                  </w:rPr>
                </m:ctrlPr>
              </m:e>
            </m:rad>
            <m:ctrlPr>
              <w:rPr>
                <w:rFonts w:ascii="Cambria Math" w:hAnsi="Cambria Math"/>
              </w:rPr>
            </m:ctrlPr>
          </m:den>
        </m:f>
      </m:oMath>
      <w:r>
        <w:t xml:space="preserve">                         (4.3.</w:t>
      </w:r>
      <w:r>
        <w:rPr>
          <w:rFonts w:hint="eastAsia"/>
        </w:rPr>
        <w:t>14</w:t>
      </w:r>
      <w:r>
        <w:t>-2)</w:t>
      </w:r>
    </w:p>
    <w:p w14:paraId="6474AB93">
      <w:pPr>
        <w:spacing w:before="156"/>
        <w:ind w:firstLine="480"/>
      </w:pPr>
      <w:r>
        <w:t>3）采用端承桩时：</w:t>
      </w:r>
    </w:p>
    <w:p w14:paraId="6AE71D63">
      <w:pPr>
        <w:spacing w:before="156"/>
        <w:ind w:firstLine="480"/>
        <w:jc w:val="right"/>
      </w:pPr>
      <m:oMath>
        <m:sSub>
          <m:sSubPr>
            <m:ctrlPr>
              <w:rPr>
                <w:rFonts w:ascii="Cambria Math" w:hAnsi="Cambria Math"/>
                <w:i/>
              </w:rPr>
            </m:ctrlPr>
          </m:sSubPr>
          <m:e>
            <m:r>
              <m:rPr/>
              <w:rPr>
                <w:rFonts w:ascii="Cambria Math" w:hAnsi="Cambria Math"/>
              </w:rPr>
              <m:t>ζ</m:t>
            </m:r>
            <m:ctrlPr>
              <w:rPr>
                <w:rFonts w:ascii="Cambria Math" w:hAnsi="Cambria Math"/>
                <w:i/>
              </w:rPr>
            </m:ctrlPr>
          </m:e>
          <m:sub>
            <m:r>
              <m:rPr/>
              <w:rPr>
                <w:rFonts w:hint="eastAsia" w:ascii="Cambria Math" w:hAnsi="Cambria Math"/>
              </w:rPr>
              <m:t>pz</m:t>
            </m:r>
            <m:ctrlPr>
              <w:rPr>
                <w:rFonts w:ascii="Cambria Math" w:hAnsi="Cambria Math"/>
                <w:i/>
              </w:rPr>
            </m:ctrlPr>
          </m:sub>
        </m:sSub>
        <m:r>
          <m:rPr>
            <m:sty m:val="p"/>
          </m:rPr>
          <w:rPr>
            <w:rFonts w:ascii="Cambria Math" w:hAnsi="Cambria Math"/>
          </w:rPr>
          <m:t>=</m:t>
        </m:r>
        <m:f>
          <m:fPr>
            <m:ctrlPr>
              <w:rPr>
                <w:rFonts w:ascii="Cambria Math" w:hAnsi="Cambria Math"/>
              </w:rPr>
            </m:ctrlPr>
          </m:fPr>
          <m:num>
            <m:r>
              <m:rPr/>
              <w:rPr>
                <w:rFonts w:ascii="Cambria Math" w:hAnsi="Cambria Math"/>
              </w:rPr>
              <m:t>0.10</m:t>
            </m:r>
            <m:ctrlPr>
              <w:rPr>
                <w:rFonts w:ascii="Cambria Math" w:hAnsi="Cambria Math"/>
              </w:rPr>
            </m:ctrlPr>
          </m:num>
          <m:den>
            <m:rad>
              <m:radPr>
                <m:degHide m:val="1"/>
                <m:ctrlPr>
                  <w:rPr>
                    <w:rFonts w:ascii="Cambria Math" w:hAnsi="Cambria Math"/>
                    <w:i/>
                  </w:rPr>
                </m:ctrlPr>
              </m:radPr>
              <m:deg>
                <m:ctrlPr>
                  <w:rPr>
                    <w:rFonts w:ascii="Cambria Math" w:hAnsi="Cambria Math"/>
                    <w:i/>
                  </w:rPr>
                </m:ctrlPr>
              </m:deg>
              <m:e>
                <m:acc>
                  <m:accPr>
                    <m:chr m:val="̅"/>
                    <m:ctrlPr>
                      <w:rPr>
                        <w:rFonts w:ascii="Cambria Math" w:hAnsi="Cambria Math"/>
                        <w:i/>
                      </w:rPr>
                    </m:ctrlPr>
                  </m:accPr>
                  <m:e>
                    <m:r>
                      <m:rPr/>
                      <w:rPr>
                        <w:rFonts w:ascii="Cambria Math" w:hAnsi="Cambria Math"/>
                      </w:rPr>
                      <m:t>m</m:t>
                    </m:r>
                    <m:ctrlPr>
                      <w:rPr>
                        <w:rFonts w:ascii="Cambria Math" w:hAnsi="Cambria Math"/>
                        <w:i/>
                      </w:rPr>
                    </m:ctrlPr>
                  </m:e>
                </m:acc>
                <m:ctrlPr>
                  <w:rPr>
                    <w:rFonts w:ascii="Cambria Math" w:hAnsi="Cambria Math"/>
                    <w:i/>
                  </w:rPr>
                </m:ctrlPr>
              </m:e>
            </m:rad>
            <m:ctrlPr>
              <w:rPr>
                <w:rFonts w:ascii="Cambria Math" w:hAnsi="Cambria Math"/>
              </w:rPr>
            </m:ctrlPr>
          </m:den>
        </m:f>
      </m:oMath>
      <w:r>
        <w:t xml:space="preserve">                         (4.3.</w:t>
      </w:r>
      <w:r>
        <w:rPr>
          <w:rFonts w:hint="eastAsia"/>
        </w:rPr>
        <w:t>14</w:t>
      </w:r>
      <w:r>
        <w:t>-3)</w:t>
      </w:r>
    </w:p>
    <w:p w14:paraId="3F5F49E3">
      <w:pPr>
        <w:spacing w:before="156"/>
        <w:ind w:firstLine="480"/>
      </w:pPr>
      <w:r>
        <w:t>4）当桩基承台底与地基土脱空时，其竖向阻尼比可取端</w:t>
      </w:r>
      <w:r>
        <w:rPr>
          <w:rFonts w:hint="eastAsia"/>
        </w:rPr>
        <w:t xml:space="preserve"> </w:t>
      </w:r>
      <w:r>
        <w:t xml:space="preserve">  承桩的竖向阻尼比。</w:t>
      </w:r>
    </w:p>
    <w:p w14:paraId="44C9D30E">
      <w:pPr>
        <w:spacing w:before="156"/>
        <w:ind w:firstLine="480"/>
        <w:rPr>
          <w:b/>
        </w:rPr>
      </w:pPr>
      <w:r>
        <w:t>4.3.</w:t>
      </w:r>
      <w:r>
        <w:rPr>
          <w:rFonts w:hint="eastAsia"/>
        </w:rPr>
        <w:t>15</w:t>
      </w:r>
      <w:r>
        <w:rPr>
          <w:b/>
        </w:rPr>
        <w:t xml:space="preserve"> </w:t>
      </w:r>
      <w:r>
        <w:t xml:space="preserve"> 计算桩基阻尼比时，宜计入桩基承台埋深对阻尼比的提高作用，桩基竖向、水平回转向以及扭转向阻尼比提高系数，宜按下列规定计算：</w:t>
      </w:r>
    </w:p>
    <w:p w14:paraId="0DB2A9BD">
      <w:pPr>
        <w:spacing w:before="156"/>
        <w:ind w:firstLine="482"/>
      </w:pPr>
      <w:r>
        <w:rPr>
          <w:b/>
        </w:rPr>
        <w:t xml:space="preserve">1 </w:t>
      </w:r>
      <w:r>
        <w:t xml:space="preserve"> 对于摩擦桩：</w:t>
      </w:r>
    </w:p>
    <w:p w14:paraId="1A266F7C">
      <w:pPr>
        <w:spacing w:before="156"/>
        <w:ind w:firstLine="480"/>
        <w:jc w:val="right"/>
      </w:pPr>
      <m:oMath>
        <m:sSub>
          <m:sSubPr>
            <m:ctrlPr>
              <w:rPr>
                <w:rFonts w:ascii="Cambria Math" w:hAnsi="Cambria Math"/>
              </w:rPr>
            </m:ctrlPr>
          </m:sSubPr>
          <m:e>
            <m:r>
              <m:rPr/>
              <w:rPr>
                <w:rFonts w:ascii="Cambria Math" w:hAnsi="Cambria Math"/>
              </w:rPr>
              <m:t>β</m:t>
            </m:r>
            <m:ctrlPr>
              <w:rPr>
                <w:rFonts w:ascii="Cambria Math" w:hAnsi="Cambria Math"/>
              </w:rPr>
            </m:ctrlPr>
          </m:e>
          <m:sub>
            <m:r>
              <m:rPr/>
              <w:rPr>
                <w:rFonts w:ascii="Cambria Math" w:hAnsi="Cambria Math"/>
              </w:rPr>
              <m:t>z</m:t>
            </m:r>
            <m:ctrlPr>
              <w:rPr>
                <w:rFonts w:ascii="Cambria Math" w:hAnsi="Cambria Math"/>
              </w:rPr>
            </m:ctrlPr>
          </m:sub>
        </m:sSub>
        <m:r>
          <m:rPr/>
          <w:rPr>
            <w:rFonts w:ascii="Cambria Math" w:hAnsi="Cambria Math"/>
          </w:rPr>
          <m:t>=1+0.8</m:t>
        </m:r>
        <m:sSub>
          <m:sSubPr>
            <m:ctrlPr>
              <w:rPr>
                <w:rFonts w:ascii="Cambria Math" w:hAnsi="Cambria Math"/>
                <w:i/>
              </w:rPr>
            </m:ctrlPr>
          </m:sSubPr>
          <m:e>
            <m:r>
              <m:rPr/>
              <w:rPr>
                <w:rFonts w:ascii="Cambria Math" w:hAnsi="Cambria Math"/>
              </w:rPr>
              <m:t>δ</m:t>
            </m:r>
            <m:ctrlPr>
              <w:rPr>
                <w:rFonts w:ascii="Cambria Math" w:hAnsi="Cambria Math"/>
                <w:i/>
              </w:rPr>
            </m:ctrlPr>
          </m:e>
          <m:sub>
            <m:r>
              <m:rPr/>
              <w:rPr>
                <w:rFonts w:ascii="Cambria Math" w:hAnsi="Cambria Math"/>
              </w:rPr>
              <m:t>d</m:t>
            </m:r>
            <m:ctrlPr>
              <w:rPr>
                <w:rFonts w:ascii="Cambria Math" w:hAnsi="Cambria Math"/>
                <w:i/>
              </w:rPr>
            </m:ctrlPr>
          </m:sub>
        </m:sSub>
      </m:oMath>
      <w:r>
        <w:rPr>
          <w:i/>
        </w:rPr>
        <w:t xml:space="preserve"> </w:t>
      </w:r>
      <w:r>
        <w:t xml:space="preserve">                 (4.3.</w:t>
      </w:r>
      <w:r>
        <w:rPr>
          <w:rFonts w:hint="eastAsia"/>
        </w:rPr>
        <w:t>15</w:t>
      </w:r>
      <w:r>
        <w:t>-1)</w:t>
      </w:r>
    </w:p>
    <w:p w14:paraId="55288003">
      <w:pPr>
        <w:spacing w:before="156"/>
        <w:ind w:firstLine="482"/>
      </w:pPr>
      <w:r>
        <w:rPr>
          <w:b/>
        </w:rPr>
        <w:t xml:space="preserve">2 </w:t>
      </w:r>
      <w:r>
        <w:t xml:space="preserve"> 对于端承桩：  </w:t>
      </w:r>
    </w:p>
    <w:p w14:paraId="0DC3D70C">
      <w:pPr>
        <w:spacing w:before="156"/>
        <w:ind w:firstLine="480"/>
        <w:jc w:val="right"/>
      </w:pPr>
      <m:oMath>
        <m:sSub>
          <m:sSubPr>
            <m:ctrlPr>
              <w:rPr>
                <w:rFonts w:ascii="Cambria Math" w:hAnsi="Cambria Math"/>
              </w:rPr>
            </m:ctrlPr>
          </m:sSubPr>
          <m:e>
            <m:r>
              <m:rPr/>
              <w:rPr>
                <w:rFonts w:ascii="Cambria Math" w:hAnsi="Cambria Math"/>
              </w:rPr>
              <m:t>β</m:t>
            </m:r>
            <m:ctrlPr>
              <w:rPr>
                <w:rFonts w:ascii="Cambria Math" w:hAnsi="Cambria Math"/>
              </w:rPr>
            </m:ctrlPr>
          </m:e>
          <m:sub>
            <m:r>
              <m:rPr/>
              <w:rPr>
                <w:rFonts w:ascii="Cambria Math" w:hAnsi="Cambria Math"/>
              </w:rPr>
              <m:t>z</m:t>
            </m:r>
            <m:ctrlPr>
              <w:rPr>
                <w:rFonts w:ascii="Cambria Math" w:hAnsi="Cambria Math"/>
              </w:rPr>
            </m:ctrlPr>
          </m:sub>
        </m:sSub>
        <m:r>
          <m:rPr/>
          <w:rPr>
            <w:rFonts w:ascii="Cambria Math" w:hAnsi="Cambria Math"/>
          </w:rPr>
          <m:t>=1+</m:t>
        </m:r>
        <m:sSub>
          <m:sSubPr>
            <m:ctrlPr>
              <w:rPr>
                <w:rFonts w:ascii="Cambria Math" w:hAnsi="Cambria Math"/>
                <w:i/>
              </w:rPr>
            </m:ctrlPr>
          </m:sSubPr>
          <m:e>
            <m:r>
              <m:rPr/>
              <w:rPr>
                <w:rFonts w:ascii="Cambria Math" w:hAnsi="Cambria Math"/>
              </w:rPr>
              <m:t>δ</m:t>
            </m:r>
            <m:ctrlPr>
              <w:rPr>
                <w:rFonts w:ascii="Cambria Math" w:hAnsi="Cambria Math"/>
                <w:i/>
              </w:rPr>
            </m:ctrlPr>
          </m:e>
          <m:sub>
            <m:r>
              <m:rPr/>
              <w:rPr>
                <w:rFonts w:ascii="Cambria Math" w:hAnsi="Cambria Math"/>
              </w:rPr>
              <m:t>d</m:t>
            </m:r>
            <m:ctrlPr>
              <w:rPr>
                <w:rFonts w:ascii="Cambria Math" w:hAnsi="Cambria Math"/>
                <w:i/>
              </w:rPr>
            </m:ctrlPr>
          </m:sub>
        </m:sSub>
      </m:oMath>
      <w:r>
        <w:rPr>
          <w:i/>
        </w:rPr>
        <w:t xml:space="preserve">  </w:t>
      </w:r>
      <w:r>
        <w:t xml:space="preserve">                   (4.3.</w:t>
      </w:r>
      <w:r>
        <w:rPr>
          <w:rFonts w:hint="eastAsia"/>
        </w:rPr>
        <w:t>15</w:t>
      </w:r>
      <w:r>
        <w:t>-</w:t>
      </w:r>
      <w:r>
        <w:rPr>
          <w:rFonts w:hint="eastAsia"/>
        </w:rPr>
        <w:t>2</w:t>
      </w:r>
      <w:r>
        <w:t>)</w:t>
      </w:r>
    </w:p>
    <w:p w14:paraId="659000FB">
      <w:pPr>
        <w:spacing w:before="156"/>
        <w:ind w:firstLine="480"/>
      </w:pPr>
      <w:r>
        <w:t>式中：</w:t>
      </w:r>
      <m:oMath>
        <m:sSub>
          <m:sSubPr>
            <m:ctrlPr>
              <w:rPr>
                <w:rFonts w:ascii="Cambria Math" w:hAnsi="Cambria Math"/>
              </w:rPr>
            </m:ctrlPr>
          </m:sSubPr>
          <m:e>
            <m:r>
              <m:rPr/>
              <w:rPr>
                <w:rFonts w:ascii="Cambria Math" w:hAnsi="Cambria Math"/>
              </w:rPr>
              <m:t>β</m:t>
            </m:r>
            <m:ctrlPr>
              <w:rPr>
                <w:rFonts w:ascii="Cambria Math" w:hAnsi="Cambria Math"/>
              </w:rPr>
            </m:ctrlPr>
          </m:e>
          <m:sub>
            <m:r>
              <m:rPr/>
              <w:rPr>
                <w:rFonts w:ascii="Cambria Math" w:hAnsi="Cambria Math"/>
              </w:rPr>
              <m:t>z</m:t>
            </m:r>
            <m:ctrlPr>
              <w:rPr>
                <w:rFonts w:ascii="Cambria Math" w:hAnsi="Cambria Math"/>
              </w:rPr>
            </m:ctrlPr>
          </m:sub>
        </m:sSub>
      </m:oMath>
      <w:r>
        <w:t>——桩基承台埋深对竖向阻尼比的提高系数；</w:t>
      </w:r>
    </w:p>
    <w:p w14:paraId="3BD6763A">
      <w:pPr>
        <w:pStyle w:val="3"/>
      </w:pPr>
      <w:r>
        <w:t xml:space="preserve">5 </w:t>
      </w:r>
      <w:r>
        <w:rPr>
          <w:rFonts w:hint="eastAsia"/>
        </w:rPr>
        <w:t>振动测试</w:t>
      </w:r>
    </w:p>
    <w:p w14:paraId="2D8270B4">
      <w:pPr>
        <w:pStyle w:val="4"/>
        <w:spacing w:before="156"/>
      </w:pPr>
      <w:r>
        <w:t xml:space="preserve">5.1 </w:t>
      </w:r>
      <w:r>
        <w:rPr>
          <w:rFonts w:hint="eastAsia"/>
        </w:rPr>
        <w:t>测试方法</w:t>
      </w:r>
    </w:p>
    <w:p w14:paraId="55464C4D">
      <w:pPr>
        <w:spacing w:before="156"/>
        <w:ind w:firstLine="482"/>
      </w:pPr>
      <w:r>
        <w:rPr>
          <w:b/>
          <w:kern w:val="0"/>
        </w:rPr>
        <w:t>5.1.1　</w:t>
      </w:r>
      <w:r>
        <w:rPr>
          <w:rFonts w:hint="eastAsia"/>
        </w:rPr>
        <w:t>锻锤</w:t>
      </w:r>
      <w:r>
        <w:t>基础建造完成后，应按现行国家标准《建筑工程容许振动标准》GB 50868的有关规定进行振动测试，并应满足容许振动</w:t>
      </w:r>
      <w:r>
        <w:rPr>
          <w:rFonts w:hint="eastAsia"/>
        </w:rPr>
        <w:t>标准的</w:t>
      </w:r>
      <w:r>
        <w:t>要求。</w:t>
      </w:r>
    </w:p>
    <w:p w14:paraId="04EA07C2">
      <w:pPr>
        <w:spacing w:before="156"/>
        <w:ind w:firstLine="482"/>
      </w:pPr>
      <w:r>
        <w:rPr>
          <w:b/>
          <w:kern w:val="0"/>
        </w:rPr>
        <w:t>5.1.2　</w:t>
      </w:r>
      <w:r>
        <w:rPr>
          <w:rFonts w:hint="eastAsia"/>
        </w:rPr>
        <w:t>锻锤</w:t>
      </w:r>
      <w:r>
        <w:t>基础振动测试仪器，应具备冲击振动测试的能力，性能技术指标应满足</w:t>
      </w:r>
      <w:r>
        <w:rPr>
          <w:rFonts w:hint="eastAsia"/>
        </w:rPr>
        <w:t>锻锤</w:t>
      </w:r>
      <w:r>
        <w:t>基础的振动特性，应符合</w:t>
      </w:r>
      <w:r>
        <w:rPr>
          <w:rFonts w:hint="eastAsia"/>
        </w:rPr>
        <w:t>有关振动测量的现行</w:t>
      </w:r>
      <w:r>
        <w:t>国家标准的规定。</w:t>
      </w:r>
    </w:p>
    <w:p w14:paraId="21385287">
      <w:pPr>
        <w:spacing w:before="156"/>
        <w:ind w:firstLine="482"/>
      </w:pPr>
      <w:r>
        <w:rPr>
          <w:b/>
          <w:kern w:val="0"/>
        </w:rPr>
        <w:t>5.1.3　</w:t>
      </w:r>
      <w:r>
        <w:rPr>
          <w:rFonts w:hint="eastAsia"/>
        </w:rPr>
        <w:t>锻锤</w:t>
      </w:r>
      <w:r>
        <w:t>基础的振动测试系统应根据</w:t>
      </w:r>
      <w:r>
        <w:rPr>
          <w:rFonts w:hint="eastAsia"/>
        </w:rPr>
        <w:t>振动测量方面的</w:t>
      </w:r>
      <w:r>
        <w:t>现行国家标准规定，由国家认定的计量部门进行校准。振动测试时，测试系统应在校准有效期内。</w:t>
      </w:r>
    </w:p>
    <w:p w14:paraId="08C2CF9A">
      <w:pPr>
        <w:spacing w:before="156"/>
        <w:ind w:firstLine="482"/>
      </w:pPr>
      <w:r>
        <w:rPr>
          <w:b/>
          <w:kern w:val="0"/>
        </w:rPr>
        <w:t>5.1.4　</w:t>
      </w:r>
      <w:r>
        <w:rPr>
          <w:rFonts w:hint="eastAsia"/>
        </w:rPr>
        <w:t>锻锤</w:t>
      </w:r>
      <w:r>
        <w:t>基础振动传感器的选择宜符合下列规定：</w:t>
      </w:r>
    </w:p>
    <w:p w14:paraId="32C5C2DE">
      <w:pPr>
        <w:spacing w:before="156"/>
        <w:ind w:firstLine="480"/>
      </w:pPr>
      <w:r>
        <w:rPr>
          <w:rFonts w:hint="eastAsia"/>
        </w:rPr>
        <w:t>1. 振动加速度测试可选用压电式或压阻式加速度传感器。对于高幅值冲击加速度测量，优先选用压阻式加速度传感器；对于宽频带或高频振动测试宜优先选用压电式加速度传感器。传感器量程、频响范围应覆盖锻锤工作参数。</w:t>
      </w:r>
    </w:p>
    <w:p w14:paraId="10383902">
      <w:pPr>
        <w:spacing w:before="156"/>
        <w:ind w:firstLine="480"/>
      </w:pPr>
      <w:r>
        <w:rPr>
          <w:rFonts w:hint="eastAsia"/>
        </w:rPr>
        <w:t>【编制说明】在进行振动加速度测试，压电式或压阻式加速度传感器。对于具有高幅值冲击加速度测量，其瞬态冲击、峰值加速度超过1000g，采用压阻式加速度传感器，抗过载能力强，低频响应好；对于宽频带或高频振动测试，特别是振动频率大于5kHz时，宜优先选用压电式加速度传感器，传感器量程、频响范围需覆盖锻锤工作参数包括，频率0.1Hz~1kHz，加速度0.1g~2000g。</w:t>
      </w:r>
    </w:p>
    <w:p w14:paraId="3E2044AD">
      <w:pPr>
        <w:spacing w:before="156"/>
        <w:ind w:firstLine="480"/>
      </w:pPr>
      <w:r>
        <w:rPr>
          <w:rFonts w:hint="eastAsia"/>
        </w:rPr>
        <w:t>2. 振动速度测试：可选用磁电式速度传感器或压电式速度传感器；小幅值低频振动宜选用磁电式速度传感器；大幅值或宽频带振动宜选用压电式速度传感器。</w:t>
      </w:r>
    </w:p>
    <w:p w14:paraId="6FC97A24">
      <w:pPr>
        <w:spacing w:before="156"/>
        <w:ind w:firstLine="480"/>
      </w:pPr>
      <w:r>
        <w:rPr>
          <w:rFonts w:hint="eastAsia"/>
        </w:rPr>
        <w:t>3. 振动位移测试，可选用非接触式激光位移传感器；激光传感器需注意采样率与量程，避免动态误差。大位移低频振动可选用电涡流位移传感器。</w:t>
      </w:r>
    </w:p>
    <w:p w14:paraId="6B923CA6">
      <w:pPr>
        <w:spacing w:before="156"/>
        <w:ind w:firstLine="482"/>
        <w:rPr>
          <w:b/>
          <w:kern w:val="0"/>
        </w:rPr>
      </w:pPr>
      <w:r>
        <w:rPr>
          <w:b/>
          <w:kern w:val="0"/>
        </w:rPr>
        <w:t>5.1.5　</w:t>
      </w:r>
      <w:r>
        <w:rPr>
          <w:rFonts w:hint="eastAsia"/>
        </w:rPr>
        <w:t>锻锤</w:t>
      </w:r>
      <w:r>
        <w:rPr>
          <w:kern w:val="0"/>
        </w:rPr>
        <w:t>基础的振动测试宜采用加速度传感器，对于大型热模锻锻锤基础振动，可采用速度传感器。</w:t>
      </w:r>
    </w:p>
    <w:p w14:paraId="642D93EE">
      <w:pPr>
        <w:spacing w:before="156"/>
        <w:ind w:firstLine="482"/>
      </w:pPr>
      <w:r>
        <w:rPr>
          <w:b/>
          <w:kern w:val="0"/>
        </w:rPr>
        <w:t>5.1.6　</w:t>
      </w:r>
      <w:r>
        <w:rPr>
          <w:rFonts w:hint="eastAsia"/>
        </w:rPr>
        <w:t>锻锤</w:t>
      </w:r>
      <w:r>
        <w:t>基础振动测量采用的加速度传感器，除应符合国家现行相关标准的有关规定外，尚应满足下列条件；</w:t>
      </w:r>
    </w:p>
    <w:p w14:paraId="4390F364">
      <w:pPr>
        <w:spacing w:before="156"/>
        <w:ind w:firstLine="482"/>
      </w:pPr>
      <w:r>
        <w:rPr>
          <w:b/>
        </w:rPr>
        <w:t>1</w:t>
      </w:r>
      <w:r>
        <w:t>　工作频率范围内灵敏度频率响应幅值误差不大于±10%；</w:t>
      </w:r>
    </w:p>
    <w:p w14:paraId="2AD62CAE">
      <w:pPr>
        <w:spacing w:before="156"/>
        <w:ind w:firstLine="482"/>
      </w:pPr>
      <w:r>
        <w:rPr>
          <w:b/>
        </w:rPr>
        <w:t>2</w:t>
      </w:r>
      <w:r>
        <w:t>　</w:t>
      </w:r>
      <w:r>
        <w:rPr>
          <w:rFonts w:hint="eastAsia"/>
        </w:rPr>
        <w:t>当锻锤打击力</w:t>
      </w:r>
      <w:r>
        <w:t>脉冲持续时间为</w:t>
      </w:r>
      <m:oMath>
        <m:sSub>
          <m:sSubPr>
            <m:ctrlPr>
              <w:rPr>
                <w:rFonts w:ascii="Cambria Math" w:hAnsi="Cambria Math"/>
                <w:i/>
              </w:rPr>
            </m:ctrlPr>
          </m:sSubPr>
          <m:e>
            <m:r>
              <m:rPr/>
              <w:rPr>
                <w:rFonts w:hint="eastAsia" w:ascii="Cambria Math" w:hAnsi="Cambria Math"/>
              </w:rPr>
              <m:t>t</m:t>
            </m:r>
            <m:ctrlPr>
              <w:rPr>
                <w:rFonts w:ascii="Cambria Math" w:hAnsi="Cambria Math"/>
                <w:i/>
              </w:rPr>
            </m:ctrlPr>
          </m:e>
          <m:sub>
            <m:r>
              <m:rPr/>
              <w:rPr>
                <w:rFonts w:ascii="Cambria Math" w:hAnsi="Cambria Math"/>
              </w:rPr>
              <m:t>0</m:t>
            </m:r>
            <m:ctrlPr>
              <w:rPr>
                <w:rFonts w:ascii="Cambria Math" w:hAnsi="Cambria Math"/>
                <w:i/>
              </w:rPr>
            </m:ctrlPr>
          </m:sub>
        </m:sSub>
      </m:oMath>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T</m:t>
            </m:r>
            <m:ctrlPr>
              <w:rPr>
                <w:rFonts w:ascii="Cambria Math" w:hAnsi="Cambria Math"/>
              </w:rPr>
            </m:ctrlPr>
          </m:e>
          <m:sub>
            <m:r>
              <m:rPr>
                <m:sty m:val="p"/>
              </m:rPr>
              <w:rPr>
                <w:rFonts w:ascii="Cambria Math" w:hAnsi="Cambria Math"/>
              </w:rPr>
              <m:t xml:space="preserve">p</m:t>
            </m:r>
            <m:ctrlPr>
              <w:rPr>
                <w:rFonts w:ascii="Cambria Math" w:hAnsi="Cambria Math"/>
              </w:rPr>
            </m:ctrlPr>
          </m:sub>
        </m:sSub>
      </m:oMath>
      <w:r>
        <w:fldChar w:fldCharType="end"/>
      </w:r>
      <w:r>
        <w:rPr>
          <w:rFonts w:hint="eastAsia"/>
        </w:rPr>
        <w:t>时，</w:t>
      </w:r>
      <w:r>
        <w:t>冲击加速度传感器的固有频率</w:t>
      </w:r>
      <w:r>
        <w:rPr>
          <w:rFonts w:hint="eastAsia"/>
        </w:rPr>
        <w:t>应大</w:t>
      </w:r>
      <w:r>
        <w:t>于</w:t>
      </w:r>
      <m:oMath>
        <m:f>
          <m:fPr>
            <m:ctrlPr>
              <w:rPr>
                <w:rFonts w:ascii="Cambria Math" w:hAnsi="Cambria Math"/>
              </w:rPr>
            </m:ctrlPr>
          </m:fPr>
          <m:num>
            <m:r>
              <m:rPr/>
              <w:rPr>
                <w:rFonts w:ascii="Cambria Math" w:hAnsi="Cambria Math"/>
              </w:rPr>
              <m:t>10</m:t>
            </m:r>
            <m:ctrlPr>
              <w:rPr>
                <w:rFonts w:ascii="Cambria Math" w:hAnsi="Cambria Math"/>
              </w:rPr>
            </m:ctrlPr>
          </m:num>
          <m:den>
            <m:sSub>
              <m:sSubPr>
                <m:ctrlPr>
                  <w:rPr>
                    <w:rFonts w:ascii="Cambria Math" w:hAnsi="Cambria Math"/>
                    <w:i/>
                  </w:rPr>
                </m:ctrlPr>
              </m:sSubPr>
              <m:e>
                <m:r>
                  <m:rPr/>
                  <w:rPr>
                    <w:rFonts w:hint="eastAsia" w:ascii="Cambria Math" w:hAnsi="Cambria Math"/>
                  </w:rPr>
                  <m:t>t</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rPr>
            </m:ctrlPr>
          </m:den>
        </m:f>
      </m:oMath>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T</m:t>
            </m:r>
            <m:ctrlPr>
              <w:rPr>
                <w:rFonts w:ascii="Cambria Math" w:hAnsi="Cambria Math"/>
              </w:rPr>
            </m:ctrlPr>
          </m:e>
          <m:sub>
            <m:r>
              <m:rPr>
                <m:sty m:val="p"/>
              </m:rPr>
              <w:rPr>
                <w:rFonts w:ascii="Cambria Math" w:hAnsi="Cambria Math"/>
              </w:rPr>
              <m:t xml:space="preserve">p</m:t>
            </m:r>
            <m:ctrlPr>
              <w:rPr>
                <w:rFonts w:ascii="Cambria Math" w:hAnsi="Cambria Math"/>
              </w:rPr>
            </m:ctrlPr>
          </m:sub>
        </m:sSub>
      </m:oMath>
      <w:r>
        <w:fldChar w:fldCharType="end"/>
      </w:r>
      <w:r>
        <w:t>（Hz）；</w:t>
      </w:r>
    </w:p>
    <w:p w14:paraId="757CD185">
      <w:pPr>
        <w:spacing w:before="156"/>
        <w:ind w:firstLine="482"/>
      </w:pPr>
      <w:r>
        <w:rPr>
          <w:b/>
        </w:rPr>
        <w:t>3　</w:t>
      </w:r>
      <w:r>
        <w:t>冲击加速度传感器的灵敏度幅值线性度不大于±10%；</w:t>
      </w:r>
    </w:p>
    <w:p w14:paraId="507ED201">
      <w:pPr>
        <w:spacing w:before="156"/>
        <w:ind w:firstLine="482"/>
      </w:pPr>
      <w:r>
        <w:rPr>
          <w:b/>
        </w:rPr>
        <w:t>4　</w:t>
      </w:r>
      <w:r>
        <w:t>最大横向灵敏度比小于5%；</w:t>
      </w:r>
    </w:p>
    <w:p w14:paraId="2C4B3F6A">
      <w:pPr>
        <w:spacing w:before="156"/>
        <w:ind w:firstLine="482"/>
      </w:pPr>
      <w:r>
        <w:rPr>
          <w:b/>
        </w:rPr>
        <w:t>5　</w:t>
      </w:r>
      <w:r>
        <w:t>压电式加速度传感器的绝缘电阻大于10</w:t>
      </w:r>
      <w:r>
        <w:rPr>
          <w:vertAlign w:val="superscript"/>
        </w:rPr>
        <w:t>11</w:t>
      </w:r>
      <w:r>
        <w:t>Ω。</w:t>
      </w:r>
    </w:p>
    <w:p w14:paraId="5DCC912F">
      <w:pPr>
        <w:spacing w:before="156"/>
        <w:ind w:firstLine="482"/>
      </w:pPr>
      <w:r>
        <w:rPr>
          <w:b/>
          <w:kern w:val="0"/>
        </w:rPr>
        <w:t>5.1.7　</w:t>
      </w:r>
      <w:r>
        <w:rPr>
          <w:rFonts w:hint="eastAsia"/>
        </w:rPr>
        <w:t>锻锤</w:t>
      </w:r>
      <w:r>
        <w:t>基础振动测试的速度传感器除应符合国家现行相关标准的有关规定外，测量精度尚应满足下列条件：</w:t>
      </w:r>
    </w:p>
    <w:p w14:paraId="0BEAA373">
      <w:pPr>
        <w:spacing w:before="156"/>
        <w:ind w:firstLine="482"/>
      </w:pPr>
      <w:r>
        <w:rPr>
          <w:b/>
        </w:rPr>
        <w:t>1</w:t>
      </w:r>
      <w:r>
        <w:t>　磁电式速度传感器的频率响应范围不小于1Hz</w:t>
      </w:r>
      <w:r>
        <w:rPr>
          <w:rFonts w:hint="eastAsia"/>
        </w:rPr>
        <w:t>～</w:t>
      </w:r>
      <w:r>
        <w:t>100Hz；</w:t>
      </w:r>
    </w:p>
    <w:p w14:paraId="438D316B">
      <w:pPr>
        <w:spacing w:before="156"/>
        <w:ind w:firstLine="482"/>
      </w:pPr>
      <w:r>
        <w:rPr>
          <w:b/>
        </w:rPr>
        <w:t>2</w:t>
      </w:r>
      <w:r>
        <w:t>　压电式速度传感器的频率响应范围不小于2Hz</w:t>
      </w:r>
      <w:r>
        <w:rPr>
          <w:rFonts w:hint="eastAsia"/>
        </w:rPr>
        <w:t>～</w:t>
      </w:r>
      <w:r>
        <w:t>6000Hz；</w:t>
      </w:r>
    </w:p>
    <w:p w14:paraId="1AADAA05">
      <w:pPr>
        <w:spacing w:before="156"/>
        <w:ind w:firstLine="482"/>
      </w:pPr>
      <w:r>
        <w:rPr>
          <w:b/>
        </w:rPr>
        <w:t>3</w:t>
      </w:r>
      <w:r>
        <w:t>　最大横向灵敏度比小于5%。</w:t>
      </w:r>
    </w:p>
    <w:p w14:paraId="5DC108C3">
      <w:pPr>
        <w:spacing w:before="156"/>
        <w:ind w:firstLine="482"/>
      </w:pPr>
      <w:r>
        <w:rPr>
          <w:b/>
          <w:kern w:val="0"/>
        </w:rPr>
        <w:t>5.1.8</w:t>
      </w:r>
      <w:r>
        <w:t>　</w:t>
      </w:r>
      <w:r>
        <w:rPr>
          <w:rFonts w:hint="eastAsia"/>
        </w:rPr>
        <w:t>锻锤基础振动测点的布置应按照以下原则设置：</w:t>
      </w:r>
    </w:p>
    <w:p w14:paraId="4DD8548E">
      <w:pPr>
        <w:spacing w:before="156"/>
        <w:ind w:firstLine="480"/>
      </w:pPr>
      <w:r>
        <w:rPr>
          <w:rFonts w:hint="eastAsia"/>
        </w:rPr>
        <w:t>1</w:t>
      </w:r>
      <w:r>
        <w:t xml:space="preserve"> </w:t>
      </w:r>
      <w:r>
        <w:rPr>
          <w:rFonts w:hint="eastAsia"/>
        </w:rPr>
        <w:t>基础本体振动控制点应选在基础顶面与基坑顶面的角点和边中点，不少于4个测点。</w:t>
      </w:r>
    </w:p>
    <w:p w14:paraId="7FBA14ED">
      <w:pPr>
        <w:spacing w:before="156"/>
        <w:ind w:firstLine="480"/>
      </w:pPr>
      <w:r>
        <w:rPr>
          <w:rFonts w:hint="eastAsia"/>
        </w:rPr>
        <w:t>2</w:t>
      </w:r>
      <w:r>
        <w:t xml:space="preserve"> </w:t>
      </w:r>
      <w:r>
        <w:rPr>
          <w:rFonts w:hint="eastAsia"/>
        </w:rPr>
        <w:t>当需要验证隔振装置的隔振效果时，应在隔振装置的上下接触面附近布置测点，上下对称设置，测点不少2个。</w:t>
      </w:r>
    </w:p>
    <w:p w14:paraId="21BB6F08">
      <w:pPr>
        <w:spacing w:before="156"/>
        <w:ind w:firstLine="480"/>
      </w:pPr>
      <w:r>
        <w:rPr>
          <w:rFonts w:hint="eastAsia"/>
        </w:rPr>
        <w:t>3</w:t>
      </w:r>
      <w:r>
        <w:t xml:space="preserve"> </w:t>
      </w:r>
      <w:r>
        <w:rPr>
          <w:rFonts w:hint="eastAsia"/>
        </w:rPr>
        <w:t>地面振动传播测点设置，应以锻锤基础中点为中心，以基础边为起点，沿放射线方向布置测点。</w:t>
      </w:r>
    </w:p>
    <w:p w14:paraId="50BA0482">
      <w:pPr>
        <w:spacing w:before="156"/>
        <w:ind w:firstLine="480"/>
      </w:pPr>
      <w:r>
        <w:rPr>
          <w:rFonts w:hint="eastAsia"/>
        </w:rPr>
        <w:t>4</w:t>
      </w:r>
      <w:r>
        <w:t xml:space="preserve"> </w:t>
      </w:r>
      <w:r>
        <w:rPr>
          <w:rFonts w:hint="eastAsia"/>
        </w:rPr>
        <w:t>在基础顶部宜设置1个参考测点。</w:t>
      </w:r>
    </w:p>
    <w:p w14:paraId="73233298">
      <w:pPr>
        <w:spacing w:before="156"/>
        <w:ind w:firstLine="480"/>
      </w:pPr>
      <w:r>
        <w:rPr>
          <w:rFonts w:hint="eastAsia"/>
        </w:rPr>
        <w:t>5</w:t>
      </w:r>
      <w:r>
        <w:t xml:space="preserve"> </w:t>
      </w:r>
      <w:r>
        <w:rPr>
          <w:rFonts w:hint="eastAsia"/>
        </w:rPr>
        <w:t>测点布置尚应符合现行国家标准《建筑工程容许振动标准》GB 50868的规定。</w:t>
      </w:r>
    </w:p>
    <w:p w14:paraId="1360349F">
      <w:pPr>
        <w:spacing w:before="156"/>
        <w:ind w:firstLine="482"/>
      </w:pPr>
      <w:r>
        <w:rPr>
          <w:rFonts w:hint="eastAsia"/>
          <w:b/>
          <w:kern w:val="0"/>
        </w:rPr>
        <w:t>5.1.9</w:t>
      </w:r>
      <w:r>
        <w:rPr>
          <w:b/>
          <w:kern w:val="0"/>
        </w:rPr>
        <w:t xml:space="preserve"> </w:t>
      </w:r>
      <w:r>
        <w:rPr>
          <w:rFonts w:hint="eastAsia"/>
        </w:rPr>
        <w:t>锻锤基础振动测试的位移传感器应满足现行国家标准《振动位移传感器检定规程》（JJG 644）中关于线性度、频率响应、灵敏度等计量性能的要求。振动测试系统须经国家法定计量机构检定/校准合格，并在其证书有效期内使用。测试前应核查传感器及配套仪器的校准状态，确保其量值溯源至国家振动计量基准。</w:t>
      </w:r>
    </w:p>
    <w:p w14:paraId="002A76DF">
      <w:pPr>
        <w:pStyle w:val="4"/>
        <w:spacing w:before="156"/>
      </w:pPr>
      <w:r>
        <w:t xml:space="preserve">5.2 </w:t>
      </w:r>
      <w:r>
        <w:rPr>
          <w:rFonts w:hint="eastAsia"/>
        </w:rPr>
        <w:t>数据处理</w:t>
      </w:r>
    </w:p>
    <w:p w14:paraId="61188761">
      <w:pPr>
        <w:overflowPunct w:val="0"/>
        <w:topLinePunct/>
        <w:spacing w:before="156"/>
        <w:ind w:firstLine="482"/>
        <w:rPr>
          <w:rFonts w:cs="Times New Roman"/>
          <w:szCs w:val="24"/>
        </w:rPr>
      </w:pPr>
      <w:r>
        <w:rPr>
          <w:rFonts w:cs="Times New Roman"/>
          <w:b/>
          <w:szCs w:val="24"/>
        </w:rPr>
        <w:t>5.2.1　</w:t>
      </w:r>
      <w:r>
        <w:rPr>
          <w:rFonts w:cs="Times New Roman"/>
          <w:szCs w:val="24"/>
        </w:rPr>
        <w:t>振动信号应进行数据预处理，数据预处理应符合下列规定：</w:t>
      </w:r>
    </w:p>
    <w:p w14:paraId="050E7C78">
      <w:pPr>
        <w:overflowPunct w:val="0"/>
        <w:topLinePunct/>
        <w:spacing w:before="156"/>
        <w:ind w:firstLine="602" w:firstLineChars="250"/>
        <w:rPr>
          <w:rFonts w:cs="Times New Roman"/>
          <w:szCs w:val="24"/>
        </w:rPr>
      </w:pPr>
      <w:r>
        <w:rPr>
          <w:rFonts w:cs="Times New Roman"/>
          <w:b/>
          <w:szCs w:val="24"/>
        </w:rPr>
        <w:t>1　</w:t>
      </w:r>
      <w:r>
        <w:rPr>
          <w:rFonts w:cs="Times New Roman"/>
          <w:szCs w:val="24"/>
        </w:rPr>
        <w:t>数据标度变换时，应确保物理单位相互对应；</w:t>
      </w:r>
    </w:p>
    <w:p w14:paraId="17C9AE1C">
      <w:pPr>
        <w:overflowPunct w:val="0"/>
        <w:topLinePunct/>
        <w:spacing w:before="156"/>
        <w:ind w:firstLine="602" w:firstLineChars="250"/>
        <w:rPr>
          <w:rFonts w:cs="Times New Roman"/>
          <w:szCs w:val="24"/>
        </w:rPr>
      </w:pPr>
      <w:r>
        <w:rPr>
          <w:rFonts w:cs="Times New Roman"/>
          <w:b/>
          <w:szCs w:val="24"/>
        </w:rPr>
        <w:t>2　</w:t>
      </w:r>
      <w:r>
        <w:rPr>
          <w:rFonts w:cs="Times New Roman"/>
          <w:szCs w:val="24"/>
        </w:rPr>
        <w:t>应消除数据中存在的因零点漂移、低频性能不稳定、环境干扰等因素引起的信号趋势项；</w:t>
      </w:r>
    </w:p>
    <w:p w14:paraId="2F292996">
      <w:pPr>
        <w:overflowPunct w:val="0"/>
        <w:topLinePunct/>
        <w:spacing w:before="156"/>
        <w:ind w:firstLine="602" w:firstLineChars="250"/>
        <w:rPr>
          <w:rFonts w:cs="Times New Roman"/>
          <w:szCs w:val="24"/>
        </w:rPr>
      </w:pPr>
      <w:r>
        <w:rPr>
          <w:rFonts w:cs="Times New Roman"/>
          <w:b/>
          <w:szCs w:val="24"/>
        </w:rPr>
        <w:t>3　</w:t>
      </w:r>
      <w:r>
        <w:rPr>
          <w:rFonts w:cs="Times New Roman"/>
          <w:szCs w:val="24"/>
        </w:rPr>
        <w:t>当振动测试信号存在噪声或高频干扰时，应进行数字滤波。</w:t>
      </w:r>
    </w:p>
    <w:p w14:paraId="592D28EC">
      <w:pPr>
        <w:overflowPunct w:val="0"/>
        <w:topLinePunct/>
        <w:spacing w:before="156"/>
        <w:ind w:firstLine="482"/>
        <w:rPr>
          <w:rFonts w:cs="Times New Roman"/>
          <w:szCs w:val="24"/>
        </w:rPr>
      </w:pPr>
      <w:r>
        <w:rPr>
          <w:rFonts w:cs="Times New Roman"/>
          <w:b/>
          <w:kern w:val="0"/>
          <w:szCs w:val="24"/>
        </w:rPr>
        <w:t>5.2.2　</w:t>
      </w:r>
      <w:r>
        <w:rPr>
          <w:rFonts w:cs="Times New Roman"/>
          <w:kern w:val="0"/>
          <w:szCs w:val="24"/>
        </w:rPr>
        <w:t>采用</w:t>
      </w:r>
      <w:r>
        <w:rPr>
          <w:rFonts w:cs="Times New Roman"/>
          <w:szCs w:val="24"/>
        </w:rPr>
        <w:t>时域方法分析</w:t>
      </w:r>
      <w:r>
        <w:rPr>
          <w:rFonts w:cs="Times New Roman"/>
          <w:kern w:val="0"/>
          <w:szCs w:val="24"/>
        </w:rPr>
        <w:t>冲击振动数据时，宜包括下列内容：</w:t>
      </w:r>
    </w:p>
    <w:p w14:paraId="3487BFE0">
      <w:pPr>
        <w:overflowPunct w:val="0"/>
        <w:topLinePunct/>
        <w:spacing w:before="156"/>
        <w:ind w:firstLine="480"/>
        <w:rPr>
          <w:rFonts w:cs="Times New Roman"/>
          <w:szCs w:val="24"/>
        </w:rPr>
      </w:pPr>
      <w:r>
        <w:rPr>
          <w:rFonts w:cs="Times New Roman"/>
          <w:szCs w:val="24"/>
        </w:rPr>
        <w:t>1　通过时域波形分析获取冲击峰值、脉冲宽度、脉冲类型等参数特征；</w:t>
      </w:r>
    </w:p>
    <w:p w14:paraId="56D8BB8E">
      <w:pPr>
        <w:overflowPunct w:val="0"/>
        <w:topLinePunct/>
        <w:spacing w:before="156"/>
        <w:ind w:firstLine="482"/>
        <w:rPr>
          <w:rFonts w:cs="Times New Roman"/>
          <w:szCs w:val="24"/>
        </w:rPr>
      </w:pPr>
      <w:r>
        <w:rPr>
          <w:rFonts w:cs="Times New Roman"/>
          <w:b/>
          <w:szCs w:val="24"/>
        </w:rPr>
        <w:t>2　</w:t>
      </w:r>
      <w:r>
        <w:rPr>
          <w:rFonts w:cs="Times New Roman"/>
          <w:szCs w:val="24"/>
        </w:rPr>
        <w:t>通过计算获取等效加速度、等效作用时间、相关函数、概率密度函数等。</w:t>
      </w:r>
    </w:p>
    <w:p w14:paraId="53A025DB">
      <w:pPr>
        <w:overflowPunct w:val="0"/>
        <w:topLinePunct/>
        <w:spacing w:before="156"/>
        <w:ind w:firstLine="482"/>
        <w:rPr>
          <w:rFonts w:cs="Times New Roman"/>
          <w:szCs w:val="24"/>
        </w:rPr>
      </w:pPr>
      <w:r>
        <w:rPr>
          <w:rFonts w:cs="Times New Roman"/>
          <w:b/>
          <w:kern w:val="0"/>
          <w:szCs w:val="24"/>
        </w:rPr>
        <w:t>5.2.3　</w:t>
      </w:r>
      <w:r>
        <w:rPr>
          <w:rFonts w:cs="Times New Roman"/>
          <w:kern w:val="0"/>
          <w:szCs w:val="24"/>
        </w:rPr>
        <w:t>采用频域</w:t>
      </w:r>
      <w:r>
        <w:rPr>
          <w:rFonts w:cs="Times New Roman"/>
          <w:szCs w:val="24"/>
        </w:rPr>
        <w:t>方法分析</w:t>
      </w:r>
      <w:r>
        <w:rPr>
          <w:rFonts w:cs="Times New Roman"/>
          <w:kern w:val="0"/>
          <w:szCs w:val="24"/>
        </w:rPr>
        <w:t>冲击振动数据时，宜包括下列内容：</w:t>
      </w:r>
    </w:p>
    <w:p w14:paraId="41D91248">
      <w:pPr>
        <w:overflowPunct w:val="0"/>
        <w:topLinePunct/>
        <w:spacing w:before="156"/>
        <w:ind w:firstLine="482"/>
        <w:rPr>
          <w:rFonts w:cs="Times New Roman"/>
          <w:szCs w:val="24"/>
        </w:rPr>
      </w:pPr>
      <w:r>
        <w:rPr>
          <w:rFonts w:cs="Times New Roman"/>
          <w:b/>
          <w:szCs w:val="24"/>
        </w:rPr>
        <w:t>1　</w:t>
      </w:r>
      <w:r>
        <w:rPr>
          <w:rFonts w:cs="Times New Roman"/>
          <w:szCs w:val="24"/>
        </w:rPr>
        <w:t>冲击响应谱分析；</w:t>
      </w:r>
    </w:p>
    <w:p w14:paraId="3F9F3830">
      <w:pPr>
        <w:overflowPunct w:val="0"/>
        <w:topLinePunct/>
        <w:spacing w:before="156"/>
        <w:ind w:firstLine="482"/>
        <w:rPr>
          <w:rFonts w:cs="Times New Roman"/>
          <w:szCs w:val="24"/>
        </w:rPr>
      </w:pPr>
      <w:r>
        <w:rPr>
          <w:rFonts w:cs="Times New Roman"/>
          <w:b/>
          <w:szCs w:val="24"/>
        </w:rPr>
        <w:t>2　</w:t>
      </w:r>
      <w:r>
        <w:rPr>
          <w:rFonts w:cs="Times New Roman"/>
          <w:szCs w:val="24"/>
        </w:rPr>
        <w:t>幅相频特性分析；</w:t>
      </w:r>
    </w:p>
    <w:p w14:paraId="5A3B4FB8">
      <w:pPr>
        <w:overflowPunct w:val="0"/>
        <w:topLinePunct/>
        <w:spacing w:before="156"/>
        <w:ind w:firstLine="482"/>
        <w:rPr>
          <w:rFonts w:cs="Times New Roman"/>
          <w:szCs w:val="24"/>
        </w:rPr>
      </w:pPr>
      <w:r>
        <w:rPr>
          <w:rFonts w:cs="Times New Roman"/>
          <w:b/>
          <w:szCs w:val="24"/>
        </w:rPr>
        <w:t>3　</w:t>
      </w:r>
      <w:r>
        <w:rPr>
          <w:rFonts w:cs="Times New Roman"/>
          <w:szCs w:val="24"/>
        </w:rPr>
        <w:t>能量谱、功率谱分析。</w:t>
      </w:r>
    </w:p>
    <w:p w14:paraId="55040B56">
      <w:pPr>
        <w:pStyle w:val="4"/>
        <w:spacing w:before="156"/>
      </w:pPr>
      <w:r>
        <w:t>5</w:t>
      </w:r>
      <w:r>
        <w:rPr>
          <w:rFonts w:hint="eastAsia"/>
        </w:rPr>
        <w:t>.3</w:t>
      </w:r>
      <w:r>
        <w:t xml:space="preserve"> </w:t>
      </w:r>
      <w:r>
        <w:rPr>
          <w:rFonts w:hint="eastAsia"/>
        </w:rPr>
        <w:t>振动评估</w:t>
      </w:r>
    </w:p>
    <w:p w14:paraId="1D70BBA1">
      <w:pPr>
        <w:overflowPunct w:val="0"/>
        <w:topLinePunct/>
        <w:spacing w:before="156"/>
        <w:ind w:firstLine="482"/>
        <w:rPr>
          <w:rFonts w:cs="Times New Roman"/>
          <w:szCs w:val="24"/>
        </w:rPr>
      </w:pPr>
      <w:r>
        <w:rPr>
          <w:rFonts w:cs="Times New Roman"/>
          <w:b/>
          <w:szCs w:val="24"/>
        </w:rPr>
        <w:t>5.3.1</w:t>
      </w:r>
      <w:r>
        <w:rPr>
          <w:rFonts w:cs="Times New Roman"/>
          <w:szCs w:val="24"/>
        </w:rPr>
        <w:t>　</w:t>
      </w:r>
      <w:r>
        <w:rPr>
          <w:rFonts w:hint="eastAsia" w:cs="Times New Roman"/>
          <w:szCs w:val="24"/>
        </w:rPr>
        <w:t>锻锤</w:t>
      </w:r>
      <w:r>
        <w:rPr>
          <w:rFonts w:cs="Times New Roman"/>
          <w:szCs w:val="24"/>
        </w:rPr>
        <w:t>基础振动测试结果应取控制点时域瞬态响应最大值。</w:t>
      </w:r>
    </w:p>
    <w:p w14:paraId="08DACA03">
      <w:pPr>
        <w:overflowPunct w:val="0"/>
        <w:topLinePunct/>
        <w:spacing w:before="156"/>
        <w:ind w:firstLine="482"/>
        <w:rPr>
          <w:rFonts w:cs="Times New Roman"/>
          <w:color w:val="000000" w:themeColor="text1"/>
          <w:szCs w:val="24"/>
          <w14:textFill>
            <w14:solidFill>
              <w14:schemeClr w14:val="tx1"/>
            </w14:solidFill>
          </w14:textFill>
        </w:rPr>
      </w:pPr>
      <w:r>
        <w:rPr>
          <w:rFonts w:cs="Times New Roman"/>
          <w:b/>
          <w:szCs w:val="24"/>
        </w:rPr>
        <w:t>5.3.2</w:t>
      </w:r>
      <w:r>
        <w:rPr>
          <w:rFonts w:cs="Times New Roman"/>
          <w:szCs w:val="24"/>
        </w:rPr>
        <w:t>　振动测试结果应按基础控制点的记录数据为准。每个测点记录有效数据不得少于3次。测试结果与算术平均值的相对误差在±５</w:t>
      </w:r>
      <w:r>
        <w:rPr>
          <w:rFonts w:hint="eastAsia" w:cs="Times New Roman"/>
          <w:szCs w:val="24"/>
        </w:rPr>
        <w:t>%</w:t>
      </w:r>
      <w:r>
        <w:rPr>
          <w:rFonts w:cs="Times New Roman"/>
          <w:szCs w:val="24"/>
        </w:rPr>
        <w:t>以内时</w:t>
      </w:r>
      <w:r>
        <w:rPr>
          <w:rFonts w:hint="eastAsia" w:cs="Times New Roman"/>
          <w:szCs w:val="24"/>
        </w:rPr>
        <w:t>宜</w:t>
      </w:r>
      <w:r>
        <w:rPr>
          <w:rFonts w:cs="Times New Roman"/>
          <w:szCs w:val="24"/>
        </w:rPr>
        <w:t>取平均值。</w:t>
      </w:r>
    </w:p>
    <w:p w14:paraId="4C849A40">
      <w:pPr>
        <w:overflowPunct w:val="0"/>
        <w:topLinePunct/>
        <w:spacing w:before="156"/>
        <w:ind w:firstLine="482"/>
        <w:rPr>
          <w:rFonts w:cs="Times New Roman"/>
          <w:color w:val="000000" w:themeColor="text1"/>
          <w:szCs w:val="24"/>
          <w14:textFill>
            <w14:solidFill>
              <w14:schemeClr w14:val="tx1"/>
            </w14:solidFill>
          </w14:textFill>
        </w:rPr>
      </w:pPr>
      <w:r>
        <w:rPr>
          <w:rFonts w:cs="Times New Roman"/>
          <w:b/>
          <w:szCs w:val="24"/>
        </w:rPr>
        <w:t>5.3.3</w:t>
      </w:r>
      <w:r>
        <w:rPr>
          <w:rFonts w:cs="Times New Roman"/>
          <w:szCs w:val="24"/>
        </w:rPr>
        <w:t>　</w:t>
      </w:r>
      <w:r>
        <w:rPr>
          <w:rFonts w:hint="eastAsia" w:cs="Times New Roman"/>
          <w:szCs w:val="24"/>
        </w:rPr>
        <w:t>锻锤</w:t>
      </w:r>
      <w:r>
        <w:rPr>
          <w:rFonts w:cs="Times New Roman"/>
          <w:szCs w:val="24"/>
        </w:rPr>
        <w:t>基础控制点的振动测试结果</w:t>
      </w:r>
      <w:r>
        <w:rPr>
          <w:rFonts w:cs="Times New Roman"/>
          <w:color w:val="000000" w:themeColor="text1"/>
          <w:szCs w:val="24"/>
          <w14:textFill>
            <w14:solidFill>
              <w14:schemeClr w14:val="tx1"/>
            </w14:solidFill>
          </w14:textFill>
        </w:rPr>
        <w:t>应符合下式规定：</w:t>
      </w:r>
    </w:p>
    <w:p w14:paraId="161E55D4">
      <w:pPr>
        <w:overflowPunct w:val="0"/>
        <w:topLinePunct/>
        <w:spacing w:before="156"/>
        <w:ind w:firstLine="482"/>
        <w:jc w:val="right"/>
        <w:rPr>
          <w:rFonts w:cs="Times New Roman"/>
          <w:color w:val="000000" w:themeColor="text1"/>
          <w:szCs w:val="24"/>
          <w14:textFill>
            <w14:solidFill>
              <w14:schemeClr w14:val="tx1"/>
            </w14:solidFill>
          </w14:textFill>
        </w:rPr>
      </w:pPr>
      <m:oMath>
        <m:sSub>
          <m:sSubPr>
            <m:ctrlPr>
              <w:rPr>
                <w:rFonts w:ascii="Cambria Math" w:hAnsi="Cambria Math" w:cs="Times New Roman"/>
                <w:b/>
                <w:szCs w:val="24"/>
              </w:rPr>
            </m:ctrlPr>
          </m:sSubPr>
          <m:e>
            <m:r>
              <m:rPr>
                <m:sty m:val="bi"/>
              </m:rPr>
              <w:rPr>
                <w:rFonts w:ascii="Cambria Math" w:hAnsi="Cambria Math" w:cs="Times New Roman"/>
                <w:szCs w:val="24"/>
              </w:rPr>
              <m:t>S</m:t>
            </m:r>
            <m:ctrlPr>
              <w:rPr>
                <w:rFonts w:ascii="Cambria Math" w:hAnsi="Cambria Math" w:cs="Times New Roman"/>
                <w:b/>
                <w:szCs w:val="24"/>
              </w:rPr>
            </m:ctrlPr>
          </m:e>
          <m:sub>
            <m:r>
              <m:rPr>
                <m:sty m:val="bi"/>
              </m:rPr>
              <w:rPr>
                <w:rFonts w:ascii="Cambria Math" w:hAnsi="Cambria Math" w:cs="Times New Roman"/>
                <w:szCs w:val="24"/>
              </w:rPr>
              <m:t>tv</m:t>
            </m:r>
            <m:ctrlPr>
              <w:rPr>
                <w:rFonts w:ascii="Cambria Math" w:hAnsi="Cambria Math" w:cs="Times New Roman"/>
                <w:b/>
                <w:szCs w:val="24"/>
              </w:rPr>
            </m:ctrlPr>
          </m:sub>
        </m:sSub>
        <m:r>
          <m:rPr>
            <m:sty m:val="b"/>
          </m:rPr>
          <w:rPr>
            <w:rFonts w:ascii="Cambria Math" w:hAnsi="Cambria Math" w:cs="Times New Roman"/>
            <w:szCs w:val="24"/>
          </w:rPr>
          <m:t>≤</m:t>
        </m:r>
        <m:sSub>
          <m:sSubPr>
            <m:ctrlPr>
              <w:rPr>
                <w:rFonts w:ascii="Cambria Math" w:hAnsi="Cambria Math" w:cs="Times New Roman"/>
                <w:b/>
                <w:szCs w:val="24"/>
              </w:rPr>
            </m:ctrlPr>
          </m:sSubPr>
          <m:e>
            <m:r>
              <m:rPr>
                <m:sty m:val="bi"/>
              </m:rPr>
              <w:rPr>
                <w:rFonts w:ascii="Cambria Math" w:hAnsi="Cambria Math" w:cs="Times New Roman"/>
                <w:szCs w:val="24"/>
              </w:rPr>
              <m:t>C</m:t>
            </m:r>
            <m:ctrlPr>
              <w:rPr>
                <w:rFonts w:ascii="Cambria Math" w:hAnsi="Cambria Math" w:cs="Times New Roman"/>
                <w:b/>
                <w:szCs w:val="24"/>
              </w:rPr>
            </m:ctrlPr>
          </m:e>
          <m:sub>
            <m:r>
              <m:rPr>
                <m:sty m:val="bi"/>
              </m:rPr>
              <w:rPr>
                <w:rFonts w:ascii="Cambria Math" w:hAnsi="Cambria Math" w:cs="Times New Roman"/>
                <w:szCs w:val="24"/>
              </w:rPr>
              <m:t>v</m:t>
            </m:r>
            <m:ctrlPr>
              <w:rPr>
                <w:rFonts w:ascii="Cambria Math" w:hAnsi="Cambria Math" w:cs="Times New Roman"/>
                <w:b/>
                <w:szCs w:val="24"/>
              </w:rPr>
            </m:ctrlPr>
          </m:sub>
        </m:sSub>
      </m:oMath>
      <w:r>
        <w:rPr>
          <w:rFonts w:cs="Times New Roman"/>
          <w:color w:val="000000" w:themeColor="text1"/>
          <w:szCs w:val="24"/>
          <w14:textFill>
            <w14:solidFill>
              <w14:schemeClr w14:val="tx1"/>
            </w14:solidFill>
          </w14:textFill>
        </w:rPr>
        <w:t xml:space="preserve">                           （5.3.3）</w:t>
      </w:r>
    </w:p>
    <w:p w14:paraId="24CF71EC">
      <w:pPr>
        <w:tabs>
          <w:tab w:val="right" w:pos="0"/>
          <w:tab w:val="right" w:pos="1080"/>
        </w:tabs>
        <w:overflowPunct w:val="0"/>
        <w:topLinePunct/>
        <w:spacing w:before="156"/>
        <w:ind w:firstLine="480"/>
        <w:rPr>
          <w:rFonts w:cs="Times New Roman"/>
          <w:szCs w:val="24"/>
        </w:rPr>
      </w:pPr>
      <w:r>
        <w:rPr>
          <w:rFonts w:cs="Times New Roman"/>
          <w:szCs w:val="24"/>
        </w:rPr>
        <w:tab/>
      </w:r>
      <w:r>
        <w:rPr>
          <w:rFonts w:cs="Times New Roman"/>
          <w:szCs w:val="24"/>
        </w:rPr>
        <w:t>式中：</w:t>
      </w:r>
      <m:oMath>
        <m:sSub>
          <m:sSubPr>
            <m:ctrlPr>
              <w:rPr>
                <w:rFonts w:ascii="Cambria Math" w:hAnsi="Cambria Math" w:cs="Times New Roman"/>
                <w:b/>
                <w:szCs w:val="24"/>
              </w:rPr>
            </m:ctrlPr>
          </m:sSubPr>
          <m:e>
            <m:r>
              <m:rPr>
                <m:sty m:val="bi"/>
              </m:rPr>
              <w:rPr>
                <w:rFonts w:ascii="Cambria Math" w:hAnsi="Cambria Math" w:cs="Times New Roman"/>
                <w:szCs w:val="24"/>
              </w:rPr>
              <m:t>S</m:t>
            </m:r>
            <m:ctrlPr>
              <w:rPr>
                <w:rFonts w:ascii="Cambria Math" w:hAnsi="Cambria Math" w:cs="Times New Roman"/>
                <w:b/>
                <w:szCs w:val="24"/>
              </w:rPr>
            </m:ctrlPr>
          </m:e>
          <m:sub>
            <m:r>
              <m:rPr>
                <m:sty m:val="bi"/>
              </m:rPr>
              <w:rPr>
                <w:rFonts w:ascii="Cambria Math" w:hAnsi="Cambria Math" w:cs="Times New Roman"/>
                <w:szCs w:val="24"/>
              </w:rPr>
              <m:t>tv</m:t>
            </m:r>
            <m:ctrlPr>
              <w:rPr>
                <w:rFonts w:ascii="Cambria Math" w:hAnsi="Cambria Math" w:cs="Times New Roman"/>
                <w:b/>
                <w:szCs w:val="24"/>
              </w:rPr>
            </m:ctrlPr>
          </m:sub>
        </m:sSub>
      </m:oMath>
      <w:r>
        <w:rPr>
          <w:rFonts w:cs="Times New Roman"/>
          <w:szCs w:val="24"/>
        </w:rPr>
        <w:t>——试验测试得到的结构或结构构件控制点的振动响应</w:t>
      </w:r>
      <w:r>
        <w:rPr>
          <w:rFonts w:hint="eastAsia" w:cs="Times New Roman"/>
          <w:szCs w:val="24"/>
        </w:rPr>
        <w:t>，对于参数见3.5条</w:t>
      </w:r>
      <w:r>
        <w:rPr>
          <w:rFonts w:cs="Times New Roman"/>
          <w:szCs w:val="24"/>
        </w:rPr>
        <w:t>；</w:t>
      </w:r>
    </w:p>
    <w:p w14:paraId="45521E49">
      <w:pPr>
        <w:overflowPunct w:val="0"/>
        <w:topLinePunct/>
        <w:spacing w:before="156"/>
        <w:ind w:left="1431" w:leftChars="295" w:hanging="723" w:hangingChars="300"/>
        <w:rPr>
          <w:rFonts w:cs="Times New Roman"/>
          <w:szCs w:val="24"/>
        </w:rPr>
      </w:pPr>
      <m:oMath>
        <m:sSub>
          <m:sSubPr>
            <m:ctrlPr>
              <w:rPr>
                <w:rFonts w:ascii="Cambria Math" w:hAnsi="Cambria Math" w:cs="Times New Roman"/>
                <w:b/>
                <w:szCs w:val="24"/>
              </w:rPr>
            </m:ctrlPr>
          </m:sSubPr>
          <m:e>
            <m:r>
              <m:rPr>
                <m:sty m:val="bi"/>
              </m:rPr>
              <w:rPr>
                <w:rFonts w:ascii="Cambria Math" w:hAnsi="Cambria Math" w:cs="Times New Roman"/>
                <w:szCs w:val="24"/>
              </w:rPr>
              <m:t>C</m:t>
            </m:r>
            <m:ctrlPr>
              <w:rPr>
                <w:rFonts w:ascii="Cambria Math" w:hAnsi="Cambria Math" w:cs="Times New Roman"/>
                <w:b/>
                <w:szCs w:val="24"/>
              </w:rPr>
            </m:ctrlPr>
          </m:e>
          <m:sub>
            <m:r>
              <m:rPr>
                <m:sty m:val="bi"/>
              </m:rPr>
              <w:rPr>
                <w:rFonts w:ascii="Cambria Math" w:hAnsi="Cambria Math" w:cs="Times New Roman"/>
                <w:szCs w:val="24"/>
              </w:rPr>
              <m:t>v</m:t>
            </m:r>
            <m:ctrlPr>
              <w:rPr>
                <w:rFonts w:ascii="Cambria Math" w:hAnsi="Cambria Math" w:cs="Times New Roman"/>
                <w:b/>
                <w:szCs w:val="24"/>
              </w:rPr>
            </m:ctrlPr>
          </m:sub>
        </m:sSub>
      </m:oMath>
      <w:r>
        <w:rPr>
          <w:rFonts w:cs="Times New Roman"/>
          <w:szCs w:val="24"/>
        </w:rPr>
        <w:t>——结构或结构构件控制点的容许振动标准，按本标准关于各种振动控制指标的规定采用</w:t>
      </w:r>
      <w:r>
        <w:rPr>
          <w:rFonts w:hint="eastAsia" w:cs="Times New Roman"/>
          <w:szCs w:val="24"/>
        </w:rPr>
        <w:t>，对应参数见3.5条</w:t>
      </w:r>
      <w:r>
        <w:rPr>
          <w:rFonts w:cs="Times New Roman"/>
          <w:szCs w:val="24"/>
        </w:rPr>
        <w:t>。</w:t>
      </w:r>
    </w:p>
    <w:p w14:paraId="345D181B">
      <w:pPr>
        <w:pStyle w:val="3"/>
      </w:pPr>
      <w:r>
        <w:t xml:space="preserve">6 </w:t>
      </w:r>
      <w:r>
        <w:rPr>
          <w:rFonts w:hint="eastAsia"/>
        </w:rPr>
        <w:t>荷载分类与荷载组合</w:t>
      </w:r>
    </w:p>
    <w:p w14:paraId="72728C30">
      <w:pPr>
        <w:pStyle w:val="4"/>
        <w:spacing w:before="156"/>
      </w:pPr>
      <w:r>
        <w:t xml:space="preserve">6.1 </w:t>
      </w:r>
      <w:r>
        <w:rPr>
          <w:rFonts w:hint="eastAsia"/>
        </w:rPr>
        <w:t>一般规定</w:t>
      </w:r>
    </w:p>
    <w:p w14:paraId="3EDF95ED">
      <w:pPr>
        <w:spacing w:before="156"/>
        <w:ind w:firstLine="480"/>
      </w:pPr>
      <w:r>
        <w:rPr>
          <w:rFonts w:hint="eastAsia"/>
        </w:rPr>
        <w:t>6.1.1　锻锤基础设计应考虑静力荷载、振动荷载与地震作用及效应组合。</w:t>
      </w:r>
    </w:p>
    <w:p w14:paraId="228769CF">
      <w:pPr>
        <w:spacing w:before="156"/>
        <w:ind w:firstLine="480"/>
      </w:pPr>
      <w:r>
        <w:rPr>
          <w:rFonts w:hint="eastAsia"/>
        </w:rPr>
        <w:t xml:space="preserve">6.1.2　对于抗震设防烈度7度及以上地区的大型锻锤基础，宜按现行国家标准《建筑抗震设计标准》 GB </w:t>
      </w:r>
      <w:r>
        <w:t>/</w:t>
      </w:r>
      <w:r>
        <w:rPr>
          <w:rFonts w:hint="eastAsia"/>
        </w:rPr>
        <w:t>T50011的有关规定进行抗震验算。</w:t>
      </w:r>
    </w:p>
    <w:p w14:paraId="3FF2F354">
      <w:pPr>
        <w:spacing w:before="156"/>
        <w:ind w:firstLine="480"/>
      </w:pPr>
      <w:r>
        <w:rPr>
          <w:rFonts w:hint="eastAsia"/>
        </w:rPr>
        <w:t>6.1.3　荷载组合应满足结构在不同荷载组合下的承载力极限状态和正常使用极限状态的要求。</w:t>
      </w:r>
    </w:p>
    <w:p w14:paraId="4BBC5861">
      <w:pPr>
        <w:spacing w:before="156"/>
        <w:ind w:firstLine="480"/>
      </w:pPr>
      <w:r>
        <w:rPr>
          <w:rFonts w:hint="eastAsia"/>
        </w:rPr>
        <w:t>6.1.4　计算荷载效应组合时，不同荷载的分项系数和组合值系数应按现行国家标准《建筑结构荷载规范》GB 50009、《工程结构通用规范》GB 55001的有关规定采用。</w:t>
      </w:r>
    </w:p>
    <w:p w14:paraId="2FBAB5B3">
      <w:pPr>
        <w:pStyle w:val="4"/>
        <w:spacing w:before="156"/>
      </w:pPr>
      <w:r>
        <w:t xml:space="preserve">6.2 </w:t>
      </w:r>
      <w:r>
        <w:rPr>
          <w:rFonts w:hint="eastAsia"/>
        </w:rPr>
        <w:t>静力荷载</w:t>
      </w:r>
    </w:p>
    <w:p w14:paraId="1CD5D835">
      <w:pPr>
        <w:overflowPunct w:val="0"/>
        <w:topLinePunct/>
        <w:spacing w:before="156"/>
        <w:ind w:firstLine="482"/>
        <w:rPr>
          <w:rFonts w:cs="Times New Roman"/>
          <w:szCs w:val="24"/>
        </w:rPr>
      </w:pPr>
      <w:r>
        <w:rPr>
          <w:rFonts w:cs="Times New Roman"/>
          <w:b/>
          <w:szCs w:val="24"/>
        </w:rPr>
        <w:t>6.2.1</w:t>
      </w:r>
      <w:r>
        <w:rPr>
          <w:rFonts w:cs="Times New Roman"/>
          <w:szCs w:val="24"/>
        </w:rPr>
        <w:t>　锻锤基础设计的静力荷载应包括基础及以上的永久荷载、可变荷载和等效静力荷载。荷载取值应符合现行国家标准《建筑结构荷载规范》GB 50009的有关规定。</w:t>
      </w:r>
    </w:p>
    <w:p w14:paraId="52D4371B">
      <w:pPr>
        <w:overflowPunct w:val="0"/>
        <w:topLinePunct/>
        <w:spacing w:before="156"/>
        <w:ind w:firstLine="482"/>
        <w:rPr>
          <w:rFonts w:cs="Times New Roman"/>
          <w:szCs w:val="24"/>
        </w:rPr>
      </w:pPr>
      <w:r>
        <w:rPr>
          <w:rFonts w:cs="Times New Roman"/>
          <w:b/>
          <w:szCs w:val="24"/>
        </w:rPr>
        <w:t>6.2.2</w:t>
      </w:r>
      <w:r>
        <w:rPr>
          <w:rFonts w:cs="Times New Roman"/>
          <w:szCs w:val="24"/>
        </w:rPr>
        <w:t>　锻锤基础静力分析采用的永久荷载应包括：基础重量、基础上部填土重量、固定设备、土压力、水压力、其他结构重量等。</w:t>
      </w:r>
    </w:p>
    <w:p w14:paraId="3252D615">
      <w:pPr>
        <w:overflowPunct w:val="0"/>
        <w:topLinePunct/>
        <w:spacing w:before="156"/>
        <w:ind w:firstLine="482"/>
        <w:rPr>
          <w:rFonts w:cs="Times New Roman"/>
          <w:szCs w:val="24"/>
        </w:rPr>
      </w:pPr>
      <w:r>
        <w:rPr>
          <w:rFonts w:cs="Times New Roman"/>
          <w:b/>
          <w:szCs w:val="24"/>
        </w:rPr>
        <w:t>6.2.3</w:t>
      </w:r>
      <w:r>
        <w:rPr>
          <w:rFonts w:cs="Times New Roman"/>
          <w:szCs w:val="24"/>
        </w:rPr>
        <w:t>　锻锤基础静力分析采用的可变荷载应包括：锻锤及其辅助设备的重量、移动工作台、其他运输工具的满载重量、操作人员和一般工具等活荷载。</w:t>
      </w:r>
    </w:p>
    <w:p w14:paraId="2EEBC436">
      <w:pPr>
        <w:overflowPunct w:val="0"/>
        <w:topLinePunct/>
        <w:spacing w:before="156"/>
        <w:ind w:firstLine="482"/>
        <w:rPr>
          <w:rFonts w:cs="Times New Roman"/>
          <w:szCs w:val="24"/>
        </w:rPr>
      </w:pPr>
      <w:r>
        <w:rPr>
          <w:rFonts w:cs="Times New Roman"/>
          <w:b/>
          <w:szCs w:val="24"/>
        </w:rPr>
        <w:t>6.2.4</w:t>
      </w:r>
      <w:r>
        <w:rPr>
          <w:rFonts w:cs="Times New Roman"/>
          <w:szCs w:val="24"/>
        </w:rPr>
        <w:t>　</w:t>
      </w:r>
      <w:r>
        <w:rPr>
          <w:rFonts w:hint="eastAsia" w:cs="Times New Roman"/>
          <w:szCs w:val="24"/>
        </w:rPr>
        <w:t>锻锤所在厂房设计时，应考虑锻锤冲击作用的动力效应。</w:t>
      </w:r>
      <w:r>
        <w:rPr>
          <w:rFonts w:cs="Times New Roman"/>
          <w:szCs w:val="24"/>
        </w:rPr>
        <w:t>由设备与分析构件的重量乘以动力系数计算得到。锻锤所在建筑</w:t>
      </w:r>
      <w:r>
        <w:rPr>
          <w:rFonts w:hint="eastAsia" w:cs="Times New Roman"/>
          <w:szCs w:val="24"/>
        </w:rPr>
        <w:t>物</w:t>
      </w:r>
      <w:r>
        <w:rPr>
          <w:rFonts w:cs="Times New Roman"/>
          <w:szCs w:val="24"/>
        </w:rPr>
        <w:t>内，不同控制位置</w:t>
      </w:r>
      <w:r>
        <w:rPr>
          <w:rFonts w:hint="eastAsia" w:cs="Times New Roman"/>
          <w:szCs w:val="24"/>
        </w:rPr>
        <w:t>对应的</w:t>
      </w:r>
      <w:r>
        <w:rPr>
          <w:rFonts w:cs="Times New Roman"/>
          <w:szCs w:val="24"/>
        </w:rPr>
        <w:t>动力系数应按表6.2.4取值。</w:t>
      </w:r>
    </w:p>
    <w:p w14:paraId="25D32AA1">
      <w:pPr>
        <w:overflowPunct w:val="0"/>
        <w:topLinePunct/>
        <w:spacing w:before="156"/>
        <w:ind w:firstLine="482"/>
        <w:jc w:val="center"/>
        <w:rPr>
          <w:rFonts w:cs="Times New Roman"/>
          <w:b/>
          <w:szCs w:val="24"/>
        </w:rPr>
      </w:pPr>
      <w:r>
        <w:rPr>
          <w:rFonts w:cs="Times New Roman"/>
          <w:b/>
          <w:szCs w:val="24"/>
        </w:rPr>
        <w:t>表6.2.4　锻锤动力系数</w:t>
      </w:r>
    </w:p>
    <w:tbl>
      <w:tblPr>
        <w:tblStyle w:val="3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1007"/>
        <w:gridCol w:w="1844"/>
        <w:gridCol w:w="1591"/>
        <w:gridCol w:w="1591"/>
      </w:tblGrid>
      <w:tr w14:paraId="20420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14:paraId="31172241">
            <w:pPr>
              <w:pStyle w:val="39"/>
            </w:pPr>
            <w:r>
              <w:t>控制部位</w:t>
            </w:r>
          </w:p>
        </w:tc>
        <w:tc>
          <w:tcPr>
            <w:tcW w:w="1007" w:type="dxa"/>
            <w:vAlign w:val="center"/>
          </w:tcPr>
          <w:p w14:paraId="5F89E131">
            <w:pPr>
              <w:pStyle w:val="39"/>
            </w:pPr>
            <w:r>
              <w:t>符号</w:t>
            </w:r>
          </w:p>
        </w:tc>
        <w:tc>
          <w:tcPr>
            <w:tcW w:w="1844" w:type="dxa"/>
            <w:vAlign w:val="center"/>
          </w:tcPr>
          <w:p w14:paraId="4790FCE0">
            <w:pPr>
              <w:pStyle w:val="39"/>
            </w:pPr>
            <w:r>
              <w:rPr>
                <w:rFonts w:hint="eastAsia"/>
              </w:rPr>
              <w:t>非隔振基础</w:t>
            </w:r>
          </w:p>
        </w:tc>
        <w:tc>
          <w:tcPr>
            <w:tcW w:w="1591" w:type="dxa"/>
          </w:tcPr>
          <w:p w14:paraId="2B2B77B9">
            <w:pPr>
              <w:pStyle w:val="39"/>
            </w:pPr>
            <w:r>
              <w:rPr>
                <w:rFonts w:hint="eastAsia"/>
              </w:rPr>
              <w:t>直接隔振</w:t>
            </w:r>
          </w:p>
        </w:tc>
        <w:tc>
          <w:tcPr>
            <w:tcW w:w="1591" w:type="dxa"/>
          </w:tcPr>
          <w:p w14:paraId="5488361F">
            <w:pPr>
              <w:pStyle w:val="39"/>
            </w:pPr>
            <w:r>
              <w:rPr>
                <w:rFonts w:hint="eastAsia"/>
              </w:rPr>
              <w:t>间接隔振</w:t>
            </w:r>
          </w:p>
        </w:tc>
      </w:tr>
      <w:tr w14:paraId="2126F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14:paraId="1F6D96DE">
            <w:pPr>
              <w:pStyle w:val="39"/>
            </w:pPr>
            <w:r>
              <w:t>锻锤底座处</w:t>
            </w:r>
          </w:p>
        </w:tc>
        <w:tc>
          <w:tcPr>
            <w:tcW w:w="1007" w:type="dxa"/>
            <w:vAlign w:val="center"/>
          </w:tcPr>
          <w:p w14:paraId="4A418B54">
            <w:pPr>
              <w:pStyle w:val="39"/>
            </w:pPr>
            <m:oMathPara>
              <m:oMath>
                <m:sSub>
                  <m:sSubPr/>
                  <m:e>
                    <m:r>
                      <m:rPr/>
                      <m:t>β</m:t>
                    </m:r>
                  </m:e>
                  <m:sub>
                    <m:r>
                      <m:rPr/>
                      <m:t>d</m:t>
                    </m:r>
                    <m:r>
                      <m:rPr>
                        <m:sty m:val="p"/>
                      </m:rPr>
                      <m:t>1</m:t>
                    </m:r>
                  </m:sub>
                </m:sSub>
              </m:oMath>
            </m:oMathPara>
          </w:p>
        </w:tc>
        <w:tc>
          <w:tcPr>
            <w:tcW w:w="1844" w:type="dxa"/>
            <w:vAlign w:val="center"/>
          </w:tcPr>
          <w:p w14:paraId="4F8AF6B2">
            <w:pPr>
              <w:pStyle w:val="39"/>
            </w:pPr>
            <w:r>
              <w:t>1.5~2.0</w:t>
            </w:r>
          </w:p>
        </w:tc>
        <w:tc>
          <w:tcPr>
            <w:tcW w:w="1591" w:type="dxa"/>
          </w:tcPr>
          <w:p w14:paraId="41F5C6EA">
            <w:pPr>
              <w:pStyle w:val="39"/>
            </w:pPr>
            <w:r>
              <w:t>1.5~2.0</w:t>
            </w:r>
          </w:p>
        </w:tc>
        <w:tc>
          <w:tcPr>
            <w:tcW w:w="1591" w:type="dxa"/>
          </w:tcPr>
          <w:p w14:paraId="41868695">
            <w:pPr>
              <w:pStyle w:val="39"/>
            </w:pPr>
            <w:r>
              <w:rPr>
                <w:rFonts w:hint="eastAsia"/>
              </w:rPr>
              <w:t>1</w:t>
            </w:r>
            <w:r>
              <w:t>.5~2.0</w:t>
            </w:r>
          </w:p>
        </w:tc>
      </w:tr>
      <w:tr w14:paraId="0AC7B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14:paraId="6F7A339B">
            <w:pPr>
              <w:pStyle w:val="39"/>
            </w:pPr>
            <w:r>
              <w:t>基础下地基</w:t>
            </w:r>
          </w:p>
        </w:tc>
        <w:tc>
          <w:tcPr>
            <w:tcW w:w="1007" w:type="dxa"/>
            <w:vAlign w:val="center"/>
          </w:tcPr>
          <w:p w14:paraId="3E1AB440">
            <w:pPr>
              <w:pStyle w:val="39"/>
            </w:pPr>
            <m:oMathPara>
              <m:oMath>
                <m:sSub>
                  <m:sSubPr/>
                  <m:e>
                    <m:r>
                      <m:rPr/>
                      <m:t>β</m:t>
                    </m:r>
                  </m:e>
                  <m:sub>
                    <m:r>
                      <m:rPr/>
                      <m:t>d</m:t>
                    </m:r>
                    <m:r>
                      <m:rPr>
                        <m:sty m:val="p"/>
                      </m:rPr>
                      <m:t>2</m:t>
                    </m:r>
                  </m:sub>
                </m:sSub>
              </m:oMath>
            </m:oMathPara>
          </w:p>
        </w:tc>
        <w:tc>
          <w:tcPr>
            <w:tcW w:w="1844" w:type="dxa"/>
            <w:vAlign w:val="center"/>
          </w:tcPr>
          <w:p w14:paraId="2181C74E">
            <w:pPr>
              <w:pStyle w:val="39"/>
            </w:pPr>
            <w:r>
              <w:t>1.3~1.5</w:t>
            </w:r>
          </w:p>
        </w:tc>
        <w:tc>
          <w:tcPr>
            <w:tcW w:w="1591" w:type="dxa"/>
          </w:tcPr>
          <w:p w14:paraId="0D94E43C">
            <w:pPr>
              <w:pStyle w:val="39"/>
            </w:pPr>
            <w:r>
              <w:rPr>
                <w:rFonts w:hint="eastAsia"/>
              </w:rPr>
              <w:t>1</w:t>
            </w:r>
            <w:r>
              <w:t>.10</w:t>
            </w:r>
          </w:p>
        </w:tc>
        <w:tc>
          <w:tcPr>
            <w:tcW w:w="1591" w:type="dxa"/>
          </w:tcPr>
          <w:p w14:paraId="6F4572F8">
            <w:pPr>
              <w:pStyle w:val="39"/>
            </w:pPr>
            <w:r>
              <w:rPr>
                <w:rFonts w:hint="eastAsia"/>
              </w:rPr>
              <w:t>1</w:t>
            </w:r>
            <w:r>
              <w:t>.0</w:t>
            </w:r>
          </w:p>
        </w:tc>
      </w:tr>
      <w:tr w14:paraId="5E2D0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14:paraId="2BA3BB0D">
            <w:pPr>
              <w:pStyle w:val="39"/>
            </w:pPr>
            <w:r>
              <w:t>锻锤上方屋盖结构</w:t>
            </w:r>
          </w:p>
        </w:tc>
        <w:tc>
          <w:tcPr>
            <w:tcW w:w="1007" w:type="dxa"/>
            <w:vAlign w:val="center"/>
          </w:tcPr>
          <w:p w14:paraId="434BB7BE">
            <w:pPr>
              <w:pStyle w:val="39"/>
            </w:pPr>
            <m:oMathPara>
              <m:oMath>
                <m:sSub>
                  <m:sSubPr/>
                  <m:e>
                    <m:r>
                      <m:rPr/>
                      <m:t>β</m:t>
                    </m:r>
                  </m:e>
                  <m:sub>
                    <m:r>
                      <m:rPr/>
                      <m:t>d</m:t>
                    </m:r>
                    <m:r>
                      <m:rPr>
                        <m:sty m:val="p"/>
                      </m:rPr>
                      <m:t>3</m:t>
                    </m:r>
                  </m:sub>
                </m:sSub>
              </m:oMath>
            </m:oMathPara>
          </w:p>
        </w:tc>
        <w:tc>
          <w:tcPr>
            <w:tcW w:w="1844" w:type="dxa"/>
            <w:vAlign w:val="center"/>
          </w:tcPr>
          <w:p w14:paraId="4AD4BB94">
            <w:pPr>
              <w:pStyle w:val="39"/>
            </w:pPr>
            <w:r>
              <w:t>1.2~1.3</w:t>
            </w:r>
          </w:p>
        </w:tc>
        <w:tc>
          <w:tcPr>
            <w:tcW w:w="1591" w:type="dxa"/>
          </w:tcPr>
          <w:p w14:paraId="5CAD5DC6">
            <w:pPr>
              <w:pStyle w:val="39"/>
            </w:pPr>
            <w:r>
              <w:rPr>
                <w:rFonts w:hint="eastAsia"/>
              </w:rPr>
              <w:t>1</w:t>
            </w:r>
            <w:r>
              <w:t>.05</w:t>
            </w:r>
          </w:p>
        </w:tc>
        <w:tc>
          <w:tcPr>
            <w:tcW w:w="1591" w:type="dxa"/>
          </w:tcPr>
          <w:p w14:paraId="1AC5ECD5">
            <w:pPr>
              <w:pStyle w:val="39"/>
            </w:pPr>
            <w:r>
              <w:rPr>
                <w:rFonts w:hint="eastAsia"/>
              </w:rPr>
              <w:t>1</w:t>
            </w:r>
            <w:r>
              <w:t>.0</w:t>
            </w:r>
          </w:p>
        </w:tc>
      </w:tr>
    </w:tbl>
    <w:p w14:paraId="0EB0FB90">
      <w:pPr>
        <w:overflowPunct w:val="0"/>
        <w:topLinePunct/>
        <w:spacing w:before="156"/>
        <w:ind w:firstLine="567" w:firstLineChars="270"/>
        <w:rPr>
          <w:rFonts w:cs="Times New Roman"/>
          <w:sz w:val="21"/>
          <w:szCs w:val="21"/>
        </w:rPr>
      </w:pPr>
      <w:r>
        <w:rPr>
          <w:rFonts w:cs="Times New Roman"/>
          <w:sz w:val="21"/>
          <w:szCs w:val="21"/>
        </w:rPr>
        <w:t>注</w:t>
      </w:r>
      <w:r>
        <w:rPr>
          <w:rFonts w:hint="eastAsia" w:cs="Times New Roman"/>
          <w:sz w:val="21"/>
          <w:szCs w:val="21"/>
        </w:rPr>
        <w:t>1</w:t>
      </w:r>
      <w:r>
        <w:rPr>
          <w:rFonts w:cs="Times New Roman"/>
          <w:sz w:val="21"/>
          <w:szCs w:val="21"/>
        </w:rPr>
        <w:t>：</w:t>
      </w:r>
      <w:r>
        <w:rPr>
          <w:rFonts w:hint="eastAsia" w:cs="Times New Roman"/>
          <w:sz w:val="21"/>
          <w:szCs w:val="21"/>
        </w:rPr>
        <w:t>落锤质量1</w:t>
      </w:r>
      <w:r>
        <w:rPr>
          <w:rFonts w:cs="Times New Roman"/>
          <w:sz w:val="21"/>
          <w:szCs w:val="21"/>
        </w:rPr>
        <w:t>t</w:t>
      </w:r>
      <w:r>
        <w:rPr>
          <w:rFonts w:hint="eastAsia" w:cs="Times New Roman"/>
          <w:sz w:val="21"/>
          <w:szCs w:val="21"/>
        </w:rPr>
        <w:t>及以下锻锤动力</w:t>
      </w:r>
      <w:r>
        <w:rPr>
          <w:rFonts w:cs="Times New Roman"/>
          <w:sz w:val="21"/>
          <w:szCs w:val="21"/>
        </w:rPr>
        <w:t>系数</w:t>
      </w:r>
      <w:r>
        <w:rPr>
          <w:rFonts w:hint="eastAsia" w:cs="Times New Roman"/>
          <w:sz w:val="21"/>
          <w:szCs w:val="21"/>
        </w:rPr>
        <w:t>取小值，1</w:t>
      </w:r>
      <w:r>
        <w:rPr>
          <w:rFonts w:cs="Times New Roman"/>
          <w:sz w:val="21"/>
          <w:szCs w:val="21"/>
        </w:rPr>
        <w:t>6</w:t>
      </w:r>
      <w:r>
        <w:rPr>
          <w:rFonts w:hint="eastAsia" w:cs="Times New Roman"/>
          <w:sz w:val="21"/>
          <w:szCs w:val="21"/>
        </w:rPr>
        <w:t>t及以上锻锤取大值，其他落锤质量可按线性插入取值</w:t>
      </w:r>
      <w:r>
        <w:rPr>
          <w:rFonts w:cs="Times New Roman"/>
          <w:sz w:val="21"/>
          <w:szCs w:val="21"/>
        </w:rPr>
        <w:t>。</w:t>
      </w:r>
      <w:r>
        <w:rPr>
          <w:rFonts w:cs="Times New Roman"/>
          <w:sz w:val="21"/>
          <w:szCs w:val="21"/>
        </w:rPr>
        <w:tab/>
      </w:r>
      <w:r>
        <w:rPr>
          <w:rFonts w:cs="Times New Roman"/>
          <w:sz w:val="21"/>
          <w:szCs w:val="21"/>
        </w:rPr>
        <w:t xml:space="preserve"> </w:t>
      </w:r>
    </w:p>
    <w:p w14:paraId="2DCEFC5C">
      <w:pPr>
        <w:pStyle w:val="39"/>
      </w:pPr>
      <w:r>
        <w:drawing>
          <wp:inline distT="0" distB="0" distL="0" distR="0">
            <wp:extent cx="3749040" cy="3213100"/>
            <wp:effectExtent l="0" t="0" r="381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768308" cy="3229980"/>
                    </a:xfrm>
                    <a:prstGeom prst="rect">
                      <a:avLst/>
                    </a:prstGeom>
                    <a:noFill/>
                  </pic:spPr>
                </pic:pic>
              </a:graphicData>
            </a:graphic>
          </wp:inline>
        </w:drawing>
      </w:r>
    </w:p>
    <w:p w14:paraId="0928CA56">
      <w:pPr>
        <w:pStyle w:val="39"/>
      </w:pPr>
      <w:r>
        <w:rPr>
          <w:rFonts w:hint="eastAsia"/>
        </w:rPr>
        <w:t>图6.2.4</w:t>
      </w:r>
      <w:r>
        <w:t xml:space="preserve">  </w:t>
      </w:r>
      <w:r>
        <w:rPr>
          <w:rFonts w:hint="eastAsia"/>
        </w:rPr>
        <w:t>厂房动力系数位置</w:t>
      </w:r>
    </w:p>
    <w:p w14:paraId="4D971087">
      <w:pPr>
        <w:pStyle w:val="4"/>
        <w:spacing w:before="156"/>
      </w:pPr>
      <w:r>
        <w:t xml:space="preserve">6.3 </w:t>
      </w:r>
      <w:r>
        <w:rPr>
          <w:rFonts w:hint="eastAsia"/>
        </w:rPr>
        <w:t>振动荷载</w:t>
      </w:r>
    </w:p>
    <w:p w14:paraId="14BC57FF">
      <w:pPr>
        <w:spacing w:before="156"/>
        <w:ind w:firstLine="480"/>
      </w:pPr>
      <w:r>
        <w:rPr>
          <w:rFonts w:hint="eastAsia"/>
        </w:rPr>
        <w:t>6.3.1　锻锤基础振动计算所采用的振动荷载，应由设备厂家提供或通过试验确定。当设备厂家不能提供且无法进行试验确定时，应按现行国家标准《建筑振动荷载标准》GB/T 51228的有关规定采用。</w:t>
      </w:r>
    </w:p>
    <w:p w14:paraId="02436147">
      <w:pPr>
        <w:spacing w:before="156"/>
        <w:ind w:firstLine="480"/>
      </w:pPr>
      <w:r>
        <w:rPr>
          <w:rFonts w:hint="eastAsia"/>
        </w:rPr>
        <w:t>6.3.2　锻锤具有冲击荷载作用，振动荷载宜采用后峰齿形、对称三角形、矩形脉冲、正弦半波和正矢脉冲五种脉冲函数表示。</w:t>
      </w:r>
    </w:p>
    <w:p w14:paraId="5EE15C8F">
      <w:pPr>
        <w:spacing w:before="156"/>
        <w:ind w:firstLine="480"/>
      </w:pPr>
      <w:r>
        <w:rPr>
          <w:rFonts w:hint="eastAsia"/>
        </w:rPr>
        <w:t>6.3.3 脉冲函数的基本参数应包括：冲击类型、脉冲峰值和持续时间等。</w:t>
      </w:r>
    </w:p>
    <w:p w14:paraId="626EBF74">
      <w:pPr>
        <w:spacing w:before="156"/>
        <w:ind w:firstLine="480"/>
      </w:pPr>
      <w:r>
        <w:rPr>
          <w:rFonts w:hint="eastAsia"/>
        </w:rPr>
        <w:t>6.3.4　锻锤设备厂家提供的振动荷载资料应包括：锤头质量、打击能量、振动频率范围，打击力，打击时间，作用位置、方向和大小，设备的动力特性等参数。</w:t>
      </w:r>
    </w:p>
    <w:p w14:paraId="47E0A2D4">
      <w:pPr>
        <w:spacing w:before="156"/>
        <w:ind w:firstLine="480"/>
      </w:pPr>
      <w:r>
        <w:rPr>
          <w:rFonts w:hint="eastAsia"/>
        </w:rPr>
        <w:t>6.3.5　当设备厂家无法提供振动荷载资料时，宜根据设备厂家提供的有关技术参数，按现行国家标准《建筑振动荷载标准》GB/T 51228的有关规定取值。</w:t>
      </w:r>
    </w:p>
    <w:p w14:paraId="682F85B4">
      <w:pPr>
        <w:pStyle w:val="4"/>
        <w:spacing w:before="156"/>
      </w:pPr>
      <w:r>
        <w:t xml:space="preserve">6.4 </w:t>
      </w:r>
      <w:r>
        <w:rPr>
          <w:rFonts w:hint="eastAsia"/>
        </w:rPr>
        <w:t>地震作用</w:t>
      </w:r>
    </w:p>
    <w:p w14:paraId="0E737DA2">
      <w:pPr>
        <w:overflowPunct w:val="0"/>
        <w:topLinePunct/>
        <w:spacing w:before="156"/>
        <w:ind w:firstLine="482"/>
        <w:rPr>
          <w:rFonts w:cs="Times New Roman"/>
          <w:szCs w:val="24"/>
        </w:rPr>
      </w:pPr>
      <w:r>
        <w:rPr>
          <w:rFonts w:cs="Times New Roman"/>
          <w:b/>
          <w:szCs w:val="24"/>
        </w:rPr>
        <w:t>6.4.1</w:t>
      </w:r>
      <w:r>
        <w:rPr>
          <w:rFonts w:cs="Times New Roman"/>
          <w:szCs w:val="24"/>
        </w:rPr>
        <w:t>　抗震设防烈度和设计基本地震加速度取值，</w:t>
      </w:r>
      <w:r>
        <w:rPr>
          <w:rFonts w:hint="eastAsia" w:cs="Times New Roman"/>
          <w:szCs w:val="24"/>
        </w:rPr>
        <w:t>应按现行国家标准《建筑抗震设计标准》 GB /T50011-2010第3.2条地震影响章节的规定选取</w:t>
      </w:r>
      <w:r>
        <w:rPr>
          <w:rFonts w:cs="Times New Roman"/>
          <w:szCs w:val="24"/>
        </w:rPr>
        <w:t>。</w:t>
      </w:r>
    </w:p>
    <w:p w14:paraId="1C122871">
      <w:pPr>
        <w:overflowPunct w:val="0"/>
        <w:topLinePunct/>
        <w:spacing w:before="156"/>
        <w:ind w:firstLine="482"/>
        <w:rPr>
          <w:rFonts w:cs="Times New Roman"/>
          <w:szCs w:val="24"/>
        </w:rPr>
      </w:pPr>
      <w:r>
        <w:rPr>
          <w:rFonts w:cs="Times New Roman"/>
          <w:b/>
          <w:szCs w:val="24"/>
        </w:rPr>
        <w:t>6.4.2</w:t>
      </w:r>
      <w:r>
        <w:rPr>
          <w:rFonts w:cs="Times New Roman"/>
          <w:szCs w:val="24"/>
        </w:rPr>
        <w:t>　</w:t>
      </w:r>
      <w:r>
        <w:rPr>
          <w:rFonts w:hint="eastAsia" w:cs="Times New Roman"/>
          <w:szCs w:val="24"/>
        </w:rPr>
        <w:t>锻锤</w:t>
      </w:r>
      <w:r>
        <w:rPr>
          <w:rFonts w:cs="Times New Roman"/>
          <w:szCs w:val="24"/>
        </w:rPr>
        <w:t>基础抗震验算应按现行国家标准《混凝土结构设计标准》GB 50010的规定进行地震作用计算</w:t>
      </w:r>
      <w:r>
        <w:rPr>
          <w:rFonts w:hint="eastAsia" w:cs="Times New Roman"/>
          <w:szCs w:val="24"/>
        </w:rPr>
        <w:t>，并满足《建筑抗震设计标准》 GB /T50011的要求，</w:t>
      </w:r>
      <w:r>
        <w:rPr>
          <w:rFonts w:cs="Times New Roman"/>
          <w:szCs w:val="24"/>
        </w:rPr>
        <w:t>地震作用可按设计反应谱计算。</w:t>
      </w:r>
    </w:p>
    <w:p w14:paraId="7FA62EDE">
      <w:pPr>
        <w:overflowPunct w:val="0"/>
        <w:topLinePunct/>
        <w:spacing w:before="156"/>
        <w:ind w:firstLine="482"/>
        <w:rPr>
          <w:rFonts w:cs="Times New Roman"/>
          <w:szCs w:val="24"/>
        </w:rPr>
      </w:pPr>
      <w:r>
        <w:rPr>
          <w:rFonts w:cs="Times New Roman"/>
          <w:b/>
          <w:szCs w:val="24"/>
        </w:rPr>
        <w:t>6.4.3</w:t>
      </w:r>
      <w:r>
        <w:rPr>
          <w:rFonts w:cs="Times New Roman"/>
          <w:szCs w:val="24"/>
        </w:rPr>
        <w:t>　天然地基基础抗震验算时，应采用地震作用效应标准组合。地基抗震承载力应按下式计算：</w:t>
      </w:r>
    </w:p>
    <w:p w14:paraId="25610737">
      <w:pPr>
        <w:overflowPunct w:val="0"/>
        <w:topLinePunct/>
        <w:spacing w:before="156" w:after="156" w:afterLines="50" w:line="312" w:lineRule="auto"/>
        <w:ind w:firstLine="480"/>
        <w:jc w:val="right"/>
        <w:rPr>
          <w:rFonts w:cs="Times New Roman"/>
          <w:szCs w:val="24"/>
        </w:rPr>
      </w:pPr>
      <m:oMath>
        <m:sSub>
          <m:sSubPr>
            <m:ctrlPr>
              <w:rPr>
                <w:rFonts w:ascii="Cambria Math" w:hAnsi="Cambria Math" w:cs="Times New Roman"/>
                <w:szCs w:val="24"/>
              </w:rPr>
            </m:ctrlPr>
          </m:sSubPr>
          <m:e>
            <m:r>
              <m:rPr/>
              <w:rPr>
                <w:rFonts w:ascii="Cambria Math" w:hAnsi="Cambria Math" w:cs="Times New Roman"/>
                <w:szCs w:val="24"/>
              </w:rPr>
              <m:t>f</m:t>
            </m:r>
            <m:ctrlPr>
              <w:rPr>
                <w:rFonts w:ascii="Cambria Math" w:hAnsi="Cambria Math" w:cs="Times New Roman"/>
                <w:szCs w:val="24"/>
              </w:rPr>
            </m:ctrlPr>
          </m:e>
          <m:sub>
            <m:r>
              <m:rPr/>
              <w:rPr>
                <w:rFonts w:ascii="Cambria Math" w:hAnsi="Cambria Math" w:cs="Times New Roman"/>
                <w:szCs w:val="24"/>
              </w:rPr>
              <m:t>aE</m:t>
            </m:r>
            <m:ctrlPr>
              <w:rPr>
                <w:rFonts w:ascii="Cambria Math" w:hAnsi="Cambria Math" w:cs="Times New Roman"/>
                <w:szCs w:val="24"/>
              </w:rPr>
            </m:ctrlPr>
          </m:sub>
        </m:sSub>
        <m:r>
          <m:rPr/>
          <w:rPr>
            <w:rFonts w:ascii="Cambria Math" w:hAnsi="Cambria Math" w:cs="Times New Roman"/>
            <w:szCs w:val="24"/>
          </w:rPr>
          <m:t>=</m:t>
        </m:r>
        <m:sSub>
          <m:sSubPr>
            <m:ctrlPr>
              <w:rPr>
                <w:rFonts w:ascii="Cambria Math" w:hAnsi="Cambria Math" w:cs="Times New Roman"/>
                <w:i/>
                <w:szCs w:val="24"/>
              </w:rPr>
            </m:ctrlPr>
          </m:sSubPr>
          <m:e>
            <m:r>
              <m:rPr/>
              <w:rPr>
                <w:rFonts w:ascii="Cambria Math" w:hAnsi="Cambria Math" w:cs="Times New Roman"/>
                <w:szCs w:val="24"/>
              </w:rPr>
              <m:t>ζ</m:t>
            </m:r>
            <m:ctrlPr>
              <w:rPr>
                <w:rFonts w:ascii="Cambria Math" w:hAnsi="Cambria Math" w:cs="Times New Roman"/>
                <w:i/>
                <w:szCs w:val="24"/>
              </w:rPr>
            </m:ctrlPr>
          </m:e>
          <m:sub>
            <m:r>
              <m:rPr/>
              <w:rPr>
                <w:rFonts w:ascii="Cambria Math" w:hAnsi="Cambria Math" w:cs="Times New Roman"/>
                <w:szCs w:val="24"/>
              </w:rPr>
              <m:t>a</m:t>
            </m:r>
            <m:ctrlPr>
              <w:rPr>
                <w:rFonts w:ascii="Cambria Math" w:hAnsi="Cambria Math" w:cs="Times New Roman"/>
                <w:i/>
                <w:szCs w:val="24"/>
              </w:rPr>
            </m:ctrlPr>
          </m:sub>
        </m:sSub>
        <m:sSub>
          <m:sSubPr>
            <m:ctrlPr>
              <w:rPr>
                <w:rFonts w:ascii="Cambria Math" w:hAnsi="Cambria Math" w:cs="Times New Roman"/>
                <w:i/>
                <w:szCs w:val="24"/>
              </w:rPr>
            </m:ctrlPr>
          </m:sSubPr>
          <m:e>
            <m:r>
              <m:rPr/>
              <w:rPr>
                <w:rFonts w:ascii="Cambria Math" w:hAnsi="Cambria Math" w:cs="Times New Roman"/>
                <w:szCs w:val="24"/>
              </w:rPr>
              <m:t>f</m:t>
            </m:r>
            <m:ctrlPr>
              <w:rPr>
                <w:rFonts w:ascii="Cambria Math" w:hAnsi="Cambria Math" w:cs="Times New Roman"/>
                <w:i/>
                <w:szCs w:val="24"/>
              </w:rPr>
            </m:ctrlPr>
          </m:e>
          <m:sub>
            <m:r>
              <m:rPr/>
              <w:rPr>
                <w:rFonts w:ascii="Cambria Math" w:hAnsi="Cambria Math" w:cs="Times New Roman"/>
                <w:szCs w:val="24"/>
              </w:rPr>
              <m:t>a</m:t>
            </m:r>
            <m:ctrlPr>
              <w:rPr>
                <w:rFonts w:ascii="Cambria Math" w:hAnsi="Cambria Math" w:cs="Times New Roman"/>
                <w:i/>
                <w:szCs w:val="24"/>
              </w:rPr>
            </m:ctrlPr>
          </m:sub>
        </m:sSub>
      </m:oMath>
      <w:r>
        <w:rPr>
          <w:rFonts w:cs="Times New Roman"/>
          <w:szCs w:val="24"/>
        </w:rPr>
        <w:t xml:space="preserve">                          （6.4.3）</w:t>
      </w:r>
    </w:p>
    <w:p w14:paraId="165E9988">
      <w:pPr>
        <w:tabs>
          <w:tab w:val="right" w:pos="1080"/>
          <w:tab w:val="right" w:pos="1560"/>
        </w:tabs>
        <w:overflowPunct w:val="0"/>
        <w:topLinePunct/>
        <w:spacing w:before="156"/>
        <w:ind w:firstLine="480"/>
        <w:rPr>
          <w:rFonts w:cs="Times New Roman"/>
          <w:szCs w:val="24"/>
        </w:rPr>
      </w:pPr>
      <w:r>
        <w:rPr>
          <w:rFonts w:cs="Times New Roman"/>
          <w:szCs w:val="24"/>
        </w:rPr>
        <w:tab/>
      </w:r>
      <w:r>
        <w:rPr>
          <w:rFonts w:cs="Times New Roman"/>
          <w:szCs w:val="24"/>
        </w:rPr>
        <w:t>式中，</w:t>
      </w:r>
      <m:oMath>
        <m:sSub>
          <m:sSubPr>
            <m:ctrlPr>
              <w:rPr>
                <w:rFonts w:ascii="Cambria Math" w:hAnsi="Cambria Math" w:cs="Times New Roman"/>
                <w:szCs w:val="24"/>
              </w:rPr>
            </m:ctrlPr>
          </m:sSubPr>
          <m:e>
            <m:r>
              <m:rPr/>
              <w:rPr>
                <w:rFonts w:ascii="Cambria Math" w:hAnsi="Cambria Math" w:cs="Times New Roman"/>
                <w:szCs w:val="24"/>
              </w:rPr>
              <m:t>f</m:t>
            </m:r>
            <m:ctrlPr>
              <w:rPr>
                <w:rFonts w:ascii="Cambria Math" w:hAnsi="Cambria Math" w:cs="Times New Roman"/>
                <w:szCs w:val="24"/>
              </w:rPr>
            </m:ctrlPr>
          </m:e>
          <m:sub>
            <m:r>
              <m:rPr/>
              <w:rPr>
                <w:rFonts w:ascii="Cambria Math" w:hAnsi="Cambria Math" w:cs="Times New Roman"/>
                <w:szCs w:val="24"/>
              </w:rPr>
              <m:t>aE</m:t>
            </m:r>
            <m:ctrlPr>
              <w:rPr>
                <w:rFonts w:ascii="Cambria Math" w:hAnsi="Cambria Math" w:cs="Times New Roman"/>
                <w:szCs w:val="24"/>
              </w:rPr>
            </m:ctrlPr>
          </m:sub>
        </m:sSub>
      </m:oMath>
      <w:r>
        <w:rPr>
          <w:rFonts w:cs="Times New Roman"/>
          <w:szCs w:val="24"/>
        </w:rPr>
        <w:tab/>
      </w:r>
      <w:r>
        <w:rPr>
          <w:rFonts w:cs="Times New Roman"/>
          <w:szCs w:val="24"/>
        </w:rPr>
        <w:t>——调整后的地基抗震承载力；</w:t>
      </w:r>
    </w:p>
    <w:p w14:paraId="4634B3FF">
      <w:pPr>
        <w:tabs>
          <w:tab w:val="right" w:pos="1080"/>
          <w:tab w:val="right" w:pos="1560"/>
        </w:tabs>
        <w:overflowPunct w:val="0"/>
        <w:topLinePunct/>
        <w:spacing w:before="156"/>
        <w:ind w:firstLine="480"/>
        <w:rPr>
          <w:rFonts w:cs="Times New Roman"/>
          <w:szCs w:val="24"/>
        </w:rPr>
      </w:pPr>
      <w:r>
        <w:rPr>
          <w:rFonts w:cs="Times New Roman"/>
          <w:szCs w:val="24"/>
        </w:rPr>
        <w:tab/>
      </w:r>
      <m:oMath>
        <m:sSub>
          <m:sSubPr>
            <m:ctrlPr>
              <w:rPr>
                <w:rFonts w:ascii="Cambria Math" w:hAnsi="Cambria Math" w:cs="Times New Roman"/>
                <w:i/>
                <w:szCs w:val="24"/>
              </w:rPr>
            </m:ctrlPr>
          </m:sSubPr>
          <m:e>
            <m:r>
              <m:rPr/>
              <w:rPr>
                <w:rFonts w:ascii="Cambria Math" w:hAnsi="Cambria Math" w:cs="Times New Roman"/>
                <w:szCs w:val="24"/>
              </w:rPr>
              <m:t>ζ</m:t>
            </m:r>
            <m:ctrlPr>
              <w:rPr>
                <w:rFonts w:ascii="Cambria Math" w:hAnsi="Cambria Math" w:cs="Times New Roman"/>
                <w:i/>
                <w:szCs w:val="24"/>
              </w:rPr>
            </m:ctrlPr>
          </m:e>
          <m:sub>
            <m:r>
              <m:rPr/>
              <w:rPr>
                <w:rFonts w:ascii="Cambria Math" w:hAnsi="Cambria Math" w:cs="Times New Roman"/>
                <w:szCs w:val="24"/>
              </w:rPr>
              <m:t>a</m:t>
            </m:r>
            <m:ctrlPr>
              <w:rPr>
                <w:rFonts w:ascii="Cambria Math" w:hAnsi="Cambria Math" w:cs="Times New Roman"/>
                <w:i/>
                <w:szCs w:val="24"/>
              </w:rPr>
            </m:ctrlPr>
          </m:sub>
        </m:sSub>
      </m:oMath>
      <w:r>
        <w:rPr>
          <w:rFonts w:cs="Times New Roman"/>
          <w:szCs w:val="24"/>
        </w:rPr>
        <w:tab/>
      </w:r>
      <w:r>
        <w:rPr>
          <w:rFonts w:cs="Times New Roman"/>
          <w:szCs w:val="24"/>
        </w:rPr>
        <w:t>——地基抗震承载力调整系数。根据地基土的性状，按现行国家标准</w:t>
      </w:r>
      <w:r>
        <w:rPr>
          <w:rFonts w:hint="eastAsia" w:cs="Times New Roman"/>
          <w:szCs w:val="24"/>
        </w:rPr>
        <w:t>《建筑抗震设计标准》 GB /T50011</w:t>
      </w:r>
      <w:r>
        <w:rPr>
          <w:rFonts w:cs="Times New Roman"/>
          <w:szCs w:val="24"/>
        </w:rPr>
        <w:t>的有关规定取值；</w:t>
      </w:r>
    </w:p>
    <w:p w14:paraId="6EEA2350">
      <w:pPr>
        <w:tabs>
          <w:tab w:val="right" w:pos="1080"/>
          <w:tab w:val="right" w:pos="1560"/>
        </w:tabs>
        <w:overflowPunct w:val="0"/>
        <w:topLinePunct/>
        <w:spacing w:before="156"/>
        <w:ind w:firstLine="480"/>
        <w:rPr>
          <w:rFonts w:cs="Times New Roman"/>
          <w:szCs w:val="24"/>
        </w:rPr>
      </w:pPr>
      <w:r>
        <w:rPr>
          <w:rFonts w:cs="Times New Roman"/>
          <w:szCs w:val="24"/>
        </w:rPr>
        <w:tab/>
      </w:r>
      <m:oMath>
        <m:sSub>
          <m:sSubPr>
            <m:ctrlPr>
              <w:rPr>
                <w:rFonts w:ascii="Cambria Math" w:hAnsi="Cambria Math" w:cs="Times New Roman"/>
                <w:i/>
                <w:szCs w:val="24"/>
              </w:rPr>
            </m:ctrlPr>
          </m:sSubPr>
          <m:e>
            <m:r>
              <m:rPr/>
              <w:rPr>
                <w:rFonts w:ascii="Cambria Math" w:hAnsi="Cambria Math" w:cs="Times New Roman"/>
                <w:szCs w:val="24"/>
              </w:rPr>
              <m:t>f</m:t>
            </m:r>
            <m:ctrlPr>
              <w:rPr>
                <w:rFonts w:ascii="Cambria Math" w:hAnsi="Cambria Math" w:cs="Times New Roman"/>
                <w:i/>
                <w:szCs w:val="24"/>
              </w:rPr>
            </m:ctrlPr>
          </m:e>
          <m:sub>
            <m:r>
              <m:rPr/>
              <w:rPr>
                <w:rFonts w:ascii="Cambria Math" w:hAnsi="Cambria Math" w:cs="Times New Roman"/>
                <w:szCs w:val="24"/>
              </w:rPr>
              <m:t>a</m:t>
            </m:r>
            <m:ctrlPr>
              <w:rPr>
                <w:rFonts w:ascii="Cambria Math" w:hAnsi="Cambria Math" w:cs="Times New Roman"/>
                <w:i/>
                <w:szCs w:val="24"/>
              </w:rPr>
            </m:ctrlPr>
          </m:sub>
        </m:sSub>
      </m:oMath>
      <w:r>
        <w:rPr>
          <w:rFonts w:cs="Times New Roman"/>
          <w:szCs w:val="24"/>
        </w:rPr>
        <w:tab/>
      </w:r>
      <w:r>
        <w:rPr>
          <w:rFonts w:cs="Times New Roman"/>
          <w:szCs w:val="24"/>
        </w:rPr>
        <w:t>——深宽修正后的地基承载力特征值。</w:t>
      </w:r>
    </w:p>
    <w:p w14:paraId="2759A08F">
      <w:pPr>
        <w:overflowPunct w:val="0"/>
        <w:topLinePunct/>
        <w:spacing w:before="156"/>
        <w:ind w:firstLine="482"/>
        <w:rPr>
          <w:rFonts w:cs="Times New Roman"/>
          <w:szCs w:val="24"/>
        </w:rPr>
      </w:pPr>
      <w:r>
        <w:rPr>
          <w:rFonts w:cs="Times New Roman"/>
          <w:b/>
          <w:szCs w:val="24"/>
        </w:rPr>
        <w:t>6.4.4</w:t>
      </w:r>
      <w:r>
        <w:rPr>
          <w:rFonts w:cs="Times New Roman"/>
          <w:szCs w:val="24"/>
        </w:rPr>
        <w:t>　抗震设防烈度不低于7度的</w:t>
      </w:r>
      <w:r>
        <w:rPr>
          <w:rFonts w:hint="eastAsia" w:cs="Times New Roman"/>
          <w:szCs w:val="24"/>
        </w:rPr>
        <w:t>锻锤</w:t>
      </w:r>
      <w:r>
        <w:rPr>
          <w:rFonts w:cs="Times New Roman"/>
          <w:szCs w:val="24"/>
        </w:rPr>
        <w:t>基础工程，当地面以下20m范围内存在饱和沙土、粉土、沙砾土等易液化土层时，应进行液化判别；若存在液化土层，应根据工程的抗震设防类别、地基的液化等级采取相应的抗液化措施。</w:t>
      </w:r>
    </w:p>
    <w:p w14:paraId="34716864">
      <w:pPr>
        <w:overflowPunct w:val="0"/>
        <w:topLinePunct/>
        <w:spacing w:before="156"/>
        <w:ind w:firstLine="482"/>
        <w:rPr>
          <w:rFonts w:cs="Times New Roman"/>
          <w:szCs w:val="24"/>
        </w:rPr>
      </w:pPr>
      <w:r>
        <w:rPr>
          <w:rFonts w:cs="Times New Roman"/>
          <w:b/>
          <w:szCs w:val="24"/>
        </w:rPr>
        <w:t>6.4.5</w:t>
      </w:r>
      <w:r>
        <w:rPr>
          <w:rFonts w:cs="Times New Roman"/>
          <w:szCs w:val="24"/>
        </w:rPr>
        <w:t>　液化土和震陷软土中桩的配筋范围，应取桩顶至液化土层或震陷软土层底面埋深以下不小于1.0m的范围，纵向钢筋应与桩顶</w:t>
      </w:r>
      <w:r>
        <w:rPr>
          <w:rFonts w:hint="eastAsia" w:cs="Times New Roman"/>
          <w:szCs w:val="24"/>
        </w:rPr>
        <w:t>位置处的钢筋一致</w:t>
      </w:r>
      <w:r>
        <w:rPr>
          <w:rFonts w:cs="Times New Roman"/>
          <w:szCs w:val="24"/>
        </w:rPr>
        <w:t>，箍筋应进行加强。</w:t>
      </w:r>
    </w:p>
    <w:p w14:paraId="2E7E56A1">
      <w:pPr>
        <w:pStyle w:val="4"/>
        <w:spacing w:before="156"/>
      </w:pPr>
      <w:r>
        <w:t xml:space="preserve">6.5 </w:t>
      </w:r>
      <w:r>
        <w:rPr>
          <w:rFonts w:hint="eastAsia"/>
        </w:rPr>
        <w:t>荷载效应组合</w:t>
      </w:r>
    </w:p>
    <w:p w14:paraId="0D3E6624">
      <w:pPr>
        <w:overflowPunct w:val="0"/>
        <w:topLinePunct/>
        <w:spacing w:before="156"/>
        <w:ind w:firstLine="482"/>
        <w:rPr>
          <w:rFonts w:cs="Times New Roman"/>
          <w:szCs w:val="24"/>
        </w:rPr>
      </w:pPr>
      <w:r>
        <w:rPr>
          <w:rFonts w:cs="Times New Roman"/>
          <w:b/>
          <w:szCs w:val="24"/>
        </w:rPr>
        <w:t>6.5.1</w:t>
      </w:r>
      <w:r>
        <w:rPr>
          <w:rFonts w:cs="Times New Roman"/>
          <w:szCs w:val="24"/>
        </w:rPr>
        <w:t>　静力荷载的效应组合应符合下列规定：</w:t>
      </w:r>
    </w:p>
    <w:p w14:paraId="2DE12C1A">
      <w:pPr>
        <w:overflowPunct w:val="0"/>
        <w:topLinePunct/>
        <w:spacing w:before="156"/>
        <w:ind w:firstLine="482"/>
        <w:rPr>
          <w:rFonts w:cs="Times New Roman"/>
          <w:szCs w:val="24"/>
        </w:rPr>
      </w:pPr>
      <w:r>
        <w:rPr>
          <w:rFonts w:cs="Times New Roman"/>
          <w:b/>
          <w:szCs w:val="24"/>
        </w:rPr>
        <w:t>1</w:t>
      </w:r>
      <w:r>
        <w:rPr>
          <w:rFonts w:cs="Times New Roman"/>
          <w:szCs w:val="24"/>
        </w:rPr>
        <w:t>　对于承载能力极限状态，应按荷载基本组合或偶然组合计算荷载效应组合的设计值，并应符合下式规定：</w:t>
      </w:r>
    </w:p>
    <w:p w14:paraId="32659DB0">
      <w:pPr>
        <w:overflowPunct w:val="0"/>
        <w:topLinePunct/>
        <w:spacing w:before="156"/>
        <w:ind w:firstLine="480"/>
        <w:jc w:val="right"/>
        <w:rPr>
          <w:rFonts w:cs="Times New Roman"/>
          <w:szCs w:val="24"/>
        </w:rPr>
      </w:pPr>
      <m:oMath>
        <m:sSub>
          <m:sSubPr>
            <m:ctrlPr>
              <w:rPr>
                <w:rFonts w:ascii="Cambria Math" w:hAnsi="Cambria Math" w:cs="Times New Roman"/>
                <w:szCs w:val="24"/>
              </w:rPr>
            </m:ctrlPr>
          </m:sSubPr>
          <m:e>
            <m:r>
              <m:rPr/>
              <w:rPr>
                <w:rFonts w:ascii="Cambria Math" w:hAnsi="Cambria Math" w:cs="Times New Roman"/>
                <w:szCs w:val="24"/>
              </w:rPr>
              <m:t>γ</m:t>
            </m:r>
            <m:ctrlPr>
              <w:rPr>
                <w:rFonts w:ascii="Cambria Math" w:hAnsi="Cambria Math" w:cs="Times New Roman"/>
                <w:szCs w:val="24"/>
              </w:rPr>
            </m:ctrlPr>
          </m:e>
          <m:sub>
            <m:r>
              <m:rPr/>
              <w:rPr>
                <w:rFonts w:ascii="Cambria Math" w:hAnsi="Cambria Math" w:cs="Times New Roman"/>
                <w:szCs w:val="24"/>
              </w:rPr>
              <m:t>0</m:t>
            </m:r>
            <m:ctrlPr>
              <w:rPr>
                <w:rFonts w:ascii="Cambria Math" w:hAnsi="Cambria Math" w:cs="Times New Roman"/>
                <w:szCs w:val="24"/>
              </w:rPr>
            </m:ctrlPr>
          </m:sub>
        </m:sSub>
        <m:sSub>
          <m:sSubPr>
            <m:ctrlPr>
              <w:rPr>
                <w:rFonts w:ascii="Cambria Math" w:hAnsi="Cambria Math" w:cs="Times New Roman"/>
                <w:i/>
                <w:szCs w:val="24"/>
              </w:rPr>
            </m:ctrlPr>
          </m:sSubPr>
          <m:e>
            <m:r>
              <m:rPr/>
              <w:rPr>
                <w:rFonts w:ascii="Cambria Math" w:hAnsi="Cambria Math" w:cs="Times New Roman"/>
                <w:szCs w:val="24"/>
              </w:rPr>
              <m:t>S</m:t>
            </m:r>
            <m:ctrlPr>
              <w:rPr>
                <w:rFonts w:ascii="Cambria Math" w:hAnsi="Cambria Math" w:cs="Times New Roman"/>
                <w:i/>
                <w:szCs w:val="24"/>
              </w:rPr>
            </m:ctrlPr>
          </m:e>
          <m:sub>
            <m:r>
              <m:rPr>
                <m:sty m:val="p"/>
              </m:rPr>
              <w:rPr>
                <w:rFonts w:ascii="Cambria Math" w:hAnsi="Cambria Math" w:cs="Times New Roman"/>
                <w:szCs w:val="24"/>
              </w:rPr>
              <m:t>d</m:t>
            </m:r>
            <m:ctrlPr>
              <w:rPr>
                <w:rFonts w:ascii="Cambria Math" w:hAnsi="Cambria Math" w:cs="Times New Roman"/>
                <w:i/>
                <w:szCs w:val="24"/>
              </w:rPr>
            </m:ctrlPr>
          </m:sub>
        </m:sSub>
        <m:r>
          <m:rPr/>
          <w:rPr>
            <w:rFonts w:ascii="Cambria Math" w:hAnsi="Cambria Math" w:cs="Times New Roman"/>
            <w:szCs w:val="24"/>
          </w:rPr>
          <m:t>≤</m:t>
        </m:r>
        <m:sSub>
          <m:sSubPr>
            <m:ctrlPr>
              <w:rPr>
                <w:rFonts w:ascii="Cambria Math" w:hAnsi="Cambria Math" w:cs="Times New Roman"/>
                <w:i/>
                <w:szCs w:val="24"/>
              </w:rPr>
            </m:ctrlPr>
          </m:sSubPr>
          <m:e>
            <m:r>
              <m:rPr/>
              <w:rPr>
                <w:rFonts w:ascii="Cambria Math" w:hAnsi="Cambria Math" w:cs="Times New Roman"/>
                <w:szCs w:val="24"/>
              </w:rPr>
              <m:t>R</m:t>
            </m:r>
            <m:ctrlPr>
              <w:rPr>
                <w:rFonts w:ascii="Cambria Math" w:hAnsi="Cambria Math" w:cs="Times New Roman"/>
                <w:i/>
                <w:szCs w:val="24"/>
              </w:rPr>
            </m:ctrlPr>
          </m:e>
          <m:sub>
            <m:r>
              <m:rPr>
                <m:sty m:val="p"/>
              </m:rPr>
              <w:rPr>
                <w:rFonts w:ascii="Cambria Math" w:hAnsi="Cambria Math" w:cs="Times New Roman"/>
                <w:szCs w:val="24"/>
              </w:rPr>
              <m:t>d</m:t>
            </m:r>
            <m:ctrlPr>
              <w:rPr>
                <w:rFonts w:ascii="Cambria Math" w:hAnsi="Cambria Math" w:cs="Times New Roman"/>
                <w:i/>
                <w:szCs w:val="24"/>
              </w:rPr>
            </m:ctrlPr>
          </m:sub>
        </m:sSub>
      </m:oMath>
      <w:r>
        <w:rPr>
          <w:rFonts w:cs="Times New Roman"/>
          <w:szCs w:val="24"/>
        </w:rPr>
        <w:t xml:space="preserve">                     （6.5.1-1）</w:t>
      </w:r>
    </w:p>
    <w:p w14:paraId="7F5F4446">
      <w:pPr>
        <w:tabs>
          <w:tab w:val="right" w:pos="1080"/>
          <w:tab w:val="right" w:pos="1560"/>
        </w:tabs>
        <w:overflowPunct w:val="0"/>
        <w:topLinePunct/>
        <w:spacing w:before="156"/>
        <w:ind w:firstLine="480"/>
        <w:rPr>
          <w:rFonts w:cs="Times New Roman"/>
          <w:szCs w:val="24"/>
        </w:rPr>
      </w:pPr>
      <w:r>
        <w:rPr>
          <w:rFonts w:cs="Times New Roman"/>
          <w:szCs w:val="24"/>
        </w:rPr>
        <w:tab/>
      </w:r>
      <w:r>
        <w:rPr>
          <w:rFonts w:cs="Times New Roman"/>
          <w:szCs w:val="24"/>
        </w:rPr>
        <w:t>式中：</w:t>
      </w:r>
      <m:oMath>
        <m:r>
          <m:rPr>
            <m:sty m:val="p"/>
          </m:rPr>
          <w:rPr>
            <w:rFonts w:ascii="Cambria Math" w:hAnsi="Cambria Math" w:cs="Times New Roman"/>
            <w:szCs w:val="24"/>
          </w:rPr>
          <m:t xml:space="preserve"> </m:t>
        </m:r>
        <m:sSub>
          <m:sSubPr>
            <m:ctrlPr>
              <w:rPr>
                <w:rFonts w:ascii="Cambria Math" w:hAnsi="Cambria Math" w:cs="Times New Roman"/>
                <w:szCs w:val="24"/>
              </w:rPr>
            </m:ctrlPr>
          </m:sSubPr>
          <m:e>
            <m:r>
              <m:rPr/>
              <w:rPr>
                <w:rFonts w:ascii="Cambria Math" w:hAnsi="Cambria Math" w:cs="Times New Roman"/>
                <w:szCs w:val="24"/>
              </w:rPr>
              <m:t>γ</m:t>
            </m:r>
            <m:ctrlPr>
              <w:rPr>
                <w:rFonts w:ascii="Cambria Math" w:hAnsi="Cambria Math" w:cs="Times New Roman"/>
                <w:szCs w:val="24"/>
              </w:rPr>
            </m:ctrlPr>
          </m:e>
          <m:sub>
            <m:r>
              <m:rPr/>
              <w:rPr>
                <w:rFonts w:ascii="Cambria Math" w:hAnsi="Cambria Math" w:cs="Times New Roman"/>
                <w:szCs w:val="24"/>
              </w:rPr>
              <m:t>0</m:t>
            </m:r>
            <m:ctrlPr>
              <w:rPr>
                <w:rFonts w:ascii="Cambria Math" w:hAnsi="Cambria Math" w:cs="Times New Roman"/>
                <w:szCs w:val="24"/>
              </w:rPr>
            </m:ctrlPr>
          </m:sub>
        </m:sSub>
      </m:oMath>
      <w:r>
        <w:rPr>
          <w:rFonts w:cs="Times New Roman"/>
          <w:szCs w:val="24"/>
        </w:rPr>
        <w:tab/>
      </w:r>
      <w:r>
        <w:rPr>
          <w:rFonts w:cs="Times New Roman"/>
          <w:szCs w:val="24"/>
        </w:rPr>
        <w:t>——结构重要性系数，对安全等级为二级、三级的结构构件不应小于1.0，对安全等级为一级的结构构件和大型</w:t>
      </w:r>
      <w:r>
        <w:rPr>
          <w:rFonts w:hint="eastAsia" w:cs="Times New Roman"/>
          <w:szCs w:val="24"/>
        </w:rPr>
        <w:t>锻锤基础</w:t>
      </w:r>
      <w:r>
        <w:rPr>
          <w:rFonts w:cs="Times New Roman"/>
          <w:szCs w:val="24"/>
        </w:rPr>
        <w:t>不应小于1.1；</w:t>
      </w:r>
    </w:p>
    <w:p w14:paraId="04CB1B62">
      <w:pPr>
        <w:tabs>
          <w:tab w:val="right" w:pos="1080"/>
          <w:tab w:val="right" w:pos="1560"/>
        </w:tabs>
        <w:overflowPunct w:val="0"/>
        <w:topLinePunct/>
        <w:spacing w:before="156"/>
        <w:ind w:firstLine="480"/>
        <w:rPr>
          <w:rFonts w:cs="Times New Roman"/>
          <w:szCs w:val="24"/>
        </w:rPr>
      </w:pPr>
      <w:r>
        <w:rPr>
          <w:rFonts w:cs="Times New Roman"/>
          <w:szCs w:val="24"/>
        </w:rPr>
        <w:tab/>
      </w:r>
      <m:oMath>
        <m:sSub>
          <m:sSubPr>
            <m:ctrlPr>
              <w:rPr>
                <w:rFonts w:ascii="Cambria Math" w:hAnsi="Cambria Math" w:cs="Times New Roman"/>
                <w:i/>
                <w:szCs w:val="24"/>
              </w:rPr>
            </m:ctrlPr>
          </m:sSubPr>
          <m:e>
            <m:r>
              <m:rPr/>
              <w:rPr>
                <w:rFonts w:ascii="Cambria Math" w:hAnsi="Cambria Math" w:cs="Times New Roman"/>
                <w:szCs w:val="24"/>
              </w:rPr>
              <m:t>S</m:t>
            </m:r>
            <m:ctrlPr>
              <w:rPr>
                <w:rFonts w:ascii="Cambria Math" w:hAnsi="Cambria Math" w:cs="Times New Roman"/>
                <w:i/>
                <w:szCs w:val="24"/>
              </w:rPr>
            </m:ctrlPr>
          </m:e>
          <m:sub>
            <m:r>
              <m:rPr>
                <m:sty m:val="p"/>
              </m:rPr>
              <w:rPr>
                <w:rFonts w:ascii="Cambria Math" w:hAnsi="Cambria Math" w:cs="Times New Roman"/>
                <w:szCs w:val="24"/>
              </w:rPr>
              <m:t>d</m:t>
            </m:r>
            <m:ctrlPr>
              <w:rPr>
                <w:rFonts w:ascii="Cambria Math" w:hAnsi="Cambria Math" w:cs="Times New Roman"/>
                <w:i/>
                <w:szCs w:val="24"/>
              </w:rPr>
            </m:ctrlPr>
          </m:sub>
        </m:sSub>
      </m:oMath>
      <w:r>
        <w:rPr>
          <w:rFonts w:cs="Times New Roman"/>
          <w:szCs w:val="24"/>
        </w:rPr>
        <w:t xml:space="preserve"> </w:t>
      </w:r>
      <w:r>
        <w:rPr>
          <w:rFonts w:cs="Times New Roman"/>
          <w:szCs w:val="24"/>
        </w:rPr>
        <w:tab/>
      </w:r>
      <w:r>
        <w:rPr>
          <w:rFonts w:cs="Times New Roman"/>
          <w:szCs w:val="24"/>
        </w:rPr>
        <w:t>——静力荷载效应组合的设计值；</w:t>
      </w:r>
    </w:p>
    <w:p w14:paraId="7EE62C14">
      <w:pPr>
        <w:tabs>
          <w:tab w:val="right" w:pos="1080"/>
          <w:tab w:val="right" w:pos="1560"/>
        </w:tabs>
        <w:overflowPunct w:val="0"/>
        <w:topLinePunct/>
        <w:spacing w:before="156"/>
        <w:ind w:firstLine="480"/>
        <w:rPr>
          <w:rFonts w:cs="Times New Roman"/>
          <w:szCs w:val="24"/>
        </w:rPr>
      </w:pPr>
      <w:r>
        <w:rPr>
          <w:rFonts w:cs="Times New Roman"/>
          <w:szCs w:val="24"/>
        </w:rPr>
        <w:tab/>
      </w:r>
      <m:oMath>
        <m:sSub>
          <m:sSubPr>
            <m:ctrlPr>
              <w:rPr>
                <w:rFonts w:ascii="Cambria Math" w:hAnsi="Cambria Math" w:cs="Times New Roman"/>
                <w:i/>
                <w:szCs w:val="24"/>
              </w:rPr>
            </m:ctrlPr>
          </m:sSubPr>
          <m:e>
            <m:r>
              <m:rPr/>
              <w:rPr>
                <w:rFonts w:ascii="Cambria Math" w:hAnsi="Cambria Math" w:cs="Times New Roman"/>
                <w:szCs w:val="24"/>
              </w:rPr>
              <m:t>R</m:t>
            </m:r>
            <m:ctrlPr>
              <w:rPr>
                <w:rFonts w:ascii="Cambria Math" w:hAnsi="Cambria Math" w:cs="Times New Roman"/>
                <w:i/>
                <w:szCs w:val="24"/>
              </w:rPr>
            </m:ctrlPr>
          </m:e>
          <m:sub>
            <m:r>
              <m:rPr>
                <m:sty m:val="p"/>
              </m:rPr>
              <w:rPr>
                <w:rFonts w:ascii="Cambria Math" w:hAnsi="Cambria Math" w:cs="Times New Roman"/>
                <w:szCs w:val="24"/>
              </w:rPr>
              <m:t>d</m:t>
            </m:r>
            <m:ctrlPr>
              <w:rPr>
                <w:rFonts w:ascii="Cambria Math" w:hAnsi="Cambria Math" w:cs="Times New Roman"/>
                <w:i/>
                <w:szCs w:val="24"/>
              </w:rPr>
            </m:ctrlPr>
          </m:sub>
        </m:sSub>
      </m:oMath>
      <w:r>
        <w:rPr>
          <w:rFonts w:cs="Times New Roman"/>
          <w:szCs w:val="24"/>
        </w:rPr>
        <w:t xml:space="preserve"> </w:t>
      </w:r>
      <w:r>
        <w:rPr>
          <w:rFonts w:cs="Times New Roman"/>
          <w:szCs w:val="24"/>
        </w:rPr>
        <w:tab/>
      </w:r>
      <w:r>
        <w:rPr>
          <w:rFonts w:cs="Times New Roman"/>
          <w:szCs w:val="24"/>
        </w:rPr>
        <w:t>——结构构件抗力的设计值。</w:t>
      </w:r>
    </w:p>
    <w:p w14:paraId="5F360548">
      <w:pPr>
        <w:overflowPunct w:val="0"/>
        <w:topLinePunct/>
        <w:spacing w:before="156"/>
        <w:ind w:firstLine="482"/>
        <w:rPr>
          <w:rFonts w:cs="Times New Roman"/>
          <w:szCs w:val="24"/>
        </w:rPr>
      </w:pPr>
      <w:r>
        <w:rPr>
          <w:rFonts w:cs="Times New Roman"/>
          <w:b/>
          <w:szCs w:val="24"/>
        </w:rPr>
        <w:t>2</w:t>
      </w:r>
      <w:r>
        <w:rPr>
          <w:rFonts w:cs="Times New Roman"/>
          <w:szCs w:val="24"/>
        </w:rPr>
        <w:t>　对于正常使用极限状态，应按荷载的标准组合，并应符合下式规定：</w:t>
      </w:r>
    </w:p>
    <w:p w14:paraId="36758B7A">
      <w:pPr>
        <w:overflowPunct w:val="0"/>
        <w:topLinePunct/>
        <w:spacing w:before="156"/>
        <w:ind w:firstLine="480"/>
        <w:jc w:val="right"/>
        <w:rPr>
          <w:rFonts w:cs="Times New Roman"/>
          <w:szCs w:val="24"/>
        </w:rPr>
      </w:pPr>
      <m:oMath>
        <m:sSub>
          <m:sSubPr>
            <m:ctrlPr>
              <w:rPr>
                <w:rFonts w:ascii="Cambria Math" w:hAnsi="Cambria Math" w:cs="Times New Roman"/>
                <w:i/>
                <w:szCs w:val="24"/>
              </w:rPr>
            </m:ctrlPr>
          </m:sSubPr>
          <m:e>
            <m:r>
              <m:rPr/>
              <w:rPr>
                <w:rFonts w:ascii="Cambria Math" w:hAnsi="Cambria Math" w:cs="Times New Roman"/>
                <w:szCs w:val="24"/>
              </w:rPr>
              <m:t>S</m:t>
            </m:r>
            <m:ctrlPr>
              <w:rPr>
                <w:rFonts w:ascii="Cambria Math" w:hAnsi="Cambria Math" w:cs="Times New Roman"/>
                <w:i/>
                <w:szCs w:val="24"/>
              </w:rPr>
            </m:ctrlPr>
          </m:e>
          <m:sub>
            <m:r>
              <m:rPr>
                <m:sty m:val="p"/>
              </m:rPr>
              <w:rPr>
                <w:rFonts w:ascii="Cambria Math" w:hAnsi="Cambria Math" w:cs="Times New Roman"/>
                <w:szCs w:val="24"/>
              </w:rPr>
              <m:t>d</m:t>
            </m:r>
            <m:ctrlPr>
              <w:rPr>
                <w:rFonts w:ascii="Cambria Math" w:hAnsi="Cambria Math" w:cs="Times New Roman"/>
                <w:i/>
                <w:szCs w:val="24"/>
              </w:rPr>
            </m:ctrlPr>
          </m:sub>
        </m:sSub>
        <m:r>
          <m:rPr/>
          <w:rPr>
            <w:rFonts w:ascii="Cambria Math" w:hAnsi="Cambria Math" w:cs="Times New Roman"/>
            <w:szCs w:val="24"/>
          </w:rPr>
          <m:t>≤C</m:t>
        </m:r>
      </m:oMath>
      <w:r>
        <w:rPr>
          <w:rFonts w:cs="Times New Roman"/>
          <w:szCs w:val="24"/>
        </w:rPr>
        <w:t xml:space="preserve">                      （6.5.1-2）</w:t>
      </w:r>
    </w:p>
    <w:p w14:paraId="56748582">
      <w:pPr>
        <w:tabs>
          <w:tab w:val="left" w:pos="0"/>
          <w:tab w:val="right" w:pos="1080"/>
        </w:tabs>
        <w:overflowPunct w:val="0"/>
        <w:topLinePunct/>
        <w:spacing w:before="156"/>
        <w:ind w:firstLine="480"/>
        <w:rPr>
          <w:rFonts w:cs="Times New Roman"/>
          <w:szCs w:val="24"/>
        </w:rPr>
      </w:pPr>
      <w:r>
        <w:rPr>
          <w:rFonts w:cs="Times New Roman"/>
          <w:szCs w:val="24"/>
        </w:rPr>
        <w:tab/>
      </w:r>
      <w:r>
        <w:rPr>
          <w:rFonts w:cs="Times New Roman"/>
          <w:szCs w:val="24"/>
        </w:rPr>
        <w:t>式中：</w:t>
      </w:r>
      <m:oMath>
        <m:sSub>
          <m:sSubPr>
            <m:ctrlPr>
              <w:rPr>
                <w:rFonts w:ascii="Cambria Math" w:hAnsi="Cambria Math" w:cs="Times New Roman"/>
                <w:i/>
                <w:szCs w:val="24"/>
              </w:rPr>
            </m:ctrlPr>
          </m:sSubPr>
          <m:e>
            <m:r>
              <m:rPr/>
              <w:rPr>
                <w:rFonts w:ascii="Cambria Math" w:hAnsi="Cambria Math" w:cs="Times New Roman"/>
                <w:szCs w:val="24"/>
              </w:rPr>
              <m:t>S</m:t>
            </m:r>
            <m:ctrlPr>
              <w:rPr>
                <w:rFonts w:ascii="Cambria Math" w:hAnsi="Cambria Math" w:cs="Times New Roman"/>
                <w:i/>
                <w:szCs w:val="24"/>
              </w:rPr>
            </m:ctrlPr>
          </m:e>
          <m:sub>
            <m:r>
              <m:rPr>
                <m:sty m:val="p"/>
              </m:rPr>
              <w:rPr>
                <w:rFonts w:ascii="Cambria Math" w:hAnsi="Cambria Math" w:cs="Times New Roman"/>
                <w:szCs w:val="24"/>
              </w:rPr>
              <m:t>d</m:t>
            </m:r>
            <m:ctrlPr>
              <w:rPr>
                <w:rFonts w:ascii="Cambria Math" w:hAnsi="Cambria Math" w:cs="Times New Roman"/>
                <w:i/>
                <w:szCs w:val="24"/>
              </w:rPr>
            </m:ctrlPr>
          </m:sub>
        </m:sSub>
      </m:oMath>
      <w:r>
        <w:rPr>
          <w:rFonts w:cs="Times New Roman"/>
          <w:szCs w:val="24"/>
        </w:rPr>
        <w:tab/>
      </w:r>
      <w:r>
        <w:rPr>
          <w:rFonts w:cs="Times New Roman"/>
          <w:szCs w:val="24"/>
        </w:rPr>
        <w:t>——静力荷载效应组合的标准值；</w:t>
      </w:r>
    </w:p>
    <w:p w14:paraId="4F32C349">
      <w:pPr>
        <w:tabs>
          <w:tab w:val="left" w:pos="0"/>
          <w:tab w:val="right" w:pos="1080"/>
        </w:tabs>
        <w:overflowPunct w:val="0"/>
        <w:topLinePunct/>
        <w:spacing w:before="156"/>
        <w:ind w:firstLine="480"/>
        <w:rPr>
          <w:rFonts w:cs="Times New Roman"/>
          <w:szCs w:val="24"/>
        </w:rPr>
      </w:pPr>
      <w:r>
        <w:rPr>
          <w:rFonts w:cs="Times New Roman"/>
          <w:i/>
          <w:szCs w:val="24"/>
        </w:rPr>
        <w:tab/>
      </w:r>
      <w:r>
        <w:rPr>
          <w:rFonts w:cs="Times New Roman"/>
          <w:i/>
          <w:szCs w:val="24"/>
        </w:rPr>
        <w:t>C</w:t>
      </w:r>
      <w:r>
        <w:rPr>
          <w:rFonts w:cs="Times New Roman"/>
          <w:i/>
          <w:szCs w:val="24"/>
        </w:rPr>
        <w:tab/>
      </w:r>
      <w:r>
        <w:rPr>
          <w:rFonts w:cs="Times New Roman"/>
          <w:szCs w:val="24"/>
        </w:rPr>
        <w:t>——结构或结构构件达到正常使用要求的规定限值。</w:t>
      </w:r>
    </w:p>
    <w:p w14:paraId="697AB969">
      <w:pPr>
        <w:overflowPunct w:val="0"/>
        <w:topLinePunct/>
        <w:spacing w:before="156"/>
        <w:ind w:firstLine="482"/>
        <w:rPr>
          <w:rFonts w:cs="Times New Roman"/>
          <w:szCs w:val="24"/>
        </w:rPr>
      </w:pPr>
      <w:r>
        <w:rPr>
          <w:rFonts w:cs="Times New Roman"/>
          <w:b/>
          <w:szCs w:val="24"/>
        </w:rPr>
        <w:t>6.5.2</w:t>
      </w:r>
      <w:r>
        <w:rPr>
          <w:rFonts w:cs="Times New Roman"/>
          <w:szCs w:val="24"/>
        </w:rPr>
        <w:t>　振动荷载的效应组合应符合现行国家标准《建筑振动荷载标准》GB/T 51228的有关规定，按照正常使用极限状态设计时，应按荷载标准组合，并应符合下式规定：</w:t>
      </w:r>
    </w:p>
    <w:p w14:paraId="2427CE95">
      <w:pPr>
        <w:overflowPunct w:val="0"/>
        <w:topLinePunct/>
        <w:spacing w:before="156"/>
        <w:ind w:firstLine="480"/>
        <w:jc w:val="right"/>
        <w:rPr>
          <w:rFonts w:cs="Times New Roman"/>
          <w:szCs w:val="24"/>
        </w:rPr>
      </w:pPr>
      <m:oMath>
        <m:sSub>
          <m:sSubPr>
            <m:ctrlPr>
              <w:rPr>
                <w:rFonts w:ascii="Cambria Math" w:hAnsi="Cambria Math" w:cs="Times New Roman"/>
                <w:i/>
                <w:szCs w:val="24"/>
              </w:rPr>
            </m:ctrlPr>
          </m:sSubPr>
          <m:e>
            <m:r>
              <m:rPr/>
              <w:rPr>
                <w:rFonts w:ascii="Cambria Math" w:hAnsi="Cambria Math" w:cs="Times New Roman"/>
                <w:szCs w:val="24"/>
              </w:rPr>
              <m:t>S</m:t>
            </m:r>
            <m:ctrlPr>
              <w:rPr>
                <w:rFonts w:ascii="Cambria Math" w:hAnsi="Cambria Math" w:cs="Times New Roman"/>
                <w:i/>
                <w:szCs w:val="24"/>
              </w:rPr>
            </m:ctrlPr>
          </m:e>
          <m:sub>
            <m:r>
              <m:rPr>
                <m:sty m:val="p"/>
              </m:rPr>
              <w:rPr>
                <w:rFonts w:ascii="Cambria Math" w:hAnsi="Cambria Math" w:cs="Times New Roman"/>
                <w:szCs w:val="24"/>
              </w:rPr>
              <m:t>v</m:t>
            </m:r>
            <m:ctrlPr>
              <w:rPr>
                <w:rFonts w:ascii="Cambria Math" w:hAnsi="Cambria Math" w:cs="Times New Roman"/>
                <w:i/>
                <w:szCs w:val="24"/>
              </w:rPr>
            </m:ctrlPr>
          </m:sub>
        </m:sSub>
        <m:r>
          <m:rPr/>
          <w:rPr>
            <w:rFonts w:ascii="Cambria Math" w:hAnsi="Cambria Math" w:cs="Times New Roman"/>
            <w:szCs w:val="24"/>
          </w:rPr>
          <m:t>≤D</m:t>
        </m:r>
      </m:oMath>
      <w:r>
        <w:rPr>
          <w:rFonts w:cs="Times New Roman"/>
          <w:szCs w:val="24"/>
        </w:rPr>
        <w:t xml:space="preserve">                          （6.5.2）</w:t>
      </w:r>
    </w:p>
    <w:p w14:paraId="262CF103">
      <w:pPr>
        <w:tabs>
          <w:tab w:val="right" w:pos="0"/>
          <w:tab w:val="right" w:pos="1080"/>
        </w:tabs>
        <w:overflowPunct w:val="0"/>
        <w:topLinePunct/>
        <w:spacing w:before="156"/>
        <w:ind w:firstLine="480"/>
        <w:rPr>
          <w:rFonts w:cs="Times New Roman"/>
          <w:szCs w:val="24"/>
        </w:rPr>
      </w:pPr>
      <w:r>
        <w:rPr>
          <w:rFonts w:cs="Times New Roman"/>
          <w:szCs w:val="24"/>
        </w:rPr>
        <w:tab/>
      </w:r>
      <w:r>
        <w:rPr>
          <w:rFonts w:cs="Times New Roman"/>
          <w:szCs w:val="24"/>
        </w:rPr>
        <w:t xml:space="preserve">式中： </w:t>
      </w:r>
      <m:oMath>
        <m:sSub>
          <m:sSubPr>
            <m:ctrlPr>
              <w:rPr>
                <w:rFonts w:ascii="Cambria Math" w:hAnsi="Cambria Math" w:cs="Times New Roman"/>
                <w:i/>
                <w:szCs w:val="24"/>
              </w:rPr>
            </m:ctrlPr>
          </m:sSubPr>
          <m:e>
            <m:r>
              <m:rPr/>
              <w:rPr>
                <w:rFonts w:ascii="Cambria Math" w:hAnsi="Cambria Math" w:cs="Times New Roman"/>
                <w:szCs w:val="24"/>
              </w:rPr>
              <m:t>S</m:t>
            </m:r>
            <m:ctrlPr>
              <w:rPr>
                <w:rFonts w:ascii="Cambria Math" w:hAnsi="Cambria Math" w:cs="Times New Roman"/>
                <w:i/>
                <w:szCs w:val="24"/>
              </w:rPr>
            </m:ctrlPr>
          </m:e>
          <m:sub>
            <m:r>
              <m:rPr>
                <m:sty m:val="p"/>
              </m:rPr>
              <w:rPr>
                <w:rFonts w:ascii="Cambria Math" w:hAnsi="Cambria Math" w:cs="Times New Roman"/>
                <w:szCs w:val="24"/>
              </w:rPr>
              <m:t>v</m:t>
            </m:r>
            <m:ctrlPr>
              <w:rPr>
                <w:rFonts w:ascii="Cambria Math" w:hAnsi="Cambria Math" w:cs="Times New Roman"/>
                <w:i/>
                <w:szCs w:val="24"/>
              </w:rPr>
            </m:ctrlPr>
          </m:sub>
        </m:sSub>
      </m:oMath>
      <w:r>
        <w:rPr>
          <w:rFonts w:cs="Times New Roman"/>
          <w:szCs w:val="24"/>
        </w:rPr>
        <w:t xml:space="preserve"> </w:t>
      </w:r>
      <w:r>
        <w:rPr>
          <w:rFonts w:cs="Times New Roman"/>
          <w:szCs w:val="24"/>
        </w:rPr>
        <w:tab/>
      </w:r>
      <w:r>
        <w:rPr>
          <w:rFonts w:cs="Times New Roman"/>
          <w:szCs w:val="24"/>
        </w:rPr>
        <w:t>——振动荷载效应的组合值；</w:t>
      </w:r>
    </w:p>
    <w:p w14:paraId="2526D37D">
      <w:pPr>
        <w:tabs>
          <w:tab w:val="right" w:pos="0"/>
          <w:tab w:val="right" w:pos="1080"/>
        </w:tabs>
        <w:overflowPunct w:val="0"/>
        <w:topLinePunct/>
        <w:spacing w:before="156"/>
        <w:ind w:firstLine="480"/>
        <w:rPr>
          <w:rFonts w:cs="Times New Roman"/>
          <w:szCs w:val="24"/>
        </w:rPr>
      </w:pPr>
      <w:r>
        <w:rPr>
          <w:rFonts w:cs="Times New Roman"/>
          <w:i/>
          <w:szCs w:val="24"/>
        </w:rPr>
        <w:tab/>
      </w:r>
      <w:r>
        <w:rPr>
          <w:rFonts w:cs="Times New Roman"/>
          <w:i/>
          <w:szCs w:val="24"/>
        </w:rPr>
        <w:t>D</w:t>
      </w:r>
      <w:r>
        <w:rPr>
          <w:rFonts w:cs="Times New Roman"/>
          <w:i/>
          <w:szCs w:val="24"/>
        </w:rPr>
        <w:tab/>
      </w:r>
      <w:r>
        <w:rPr>
          <w:rFonts w:cs="Times New Roman"/>
          <w:szCs w:val="24"/>
        </w:rPr>
        <w:t>——结构或结构构件达到容许振动标准限值。</w:t>
      </w:r>
    </w:p>
    <w:p w14:paraId="5D8C1C41">
      <w:pPr>
        <w:overflowPunct w:val="0"/>
        <w:topLinePunct/>
        <w:spacing w:before="156"/>
        <w:ind w:firstLine="482"/>
        <w:rPr>
          <w:rFonts w:cs="Times New Roman"/>
          <w:szCs w:val="24"/>
        </w:rPr>
      </w:pPr>
      <w:r>
        <w:rPr>
          <w:rFonts w:cs="Times New Roman"/>
          <w:b/>
          <w:szCs w:val="24"/>
        </w:rPr>
        <w:t>6.5.3</w:t>
      </w:r>
      <w:r>
        <w:rPr>
          <w:rFonts w:cs="Times New Roman"/>
          <w:szCs w:val="24"/>
        </w:rPr>
        <w:t>　锻锤地基基础振动对环境的影响应符合下式规定：</w:t>
      </w:r>
    </w:p>
    <w:p w14:paraId="6324CC24">
      <w:pPr>
        <w:overflowPunct w:val="0"/>
        <w:topLinePunct/>
        <w:spacing w:before="156"/>
        <w:ind w:firstLine="480"/>
        <w:jc w:val="right"/>
        <w:rPr>
          <w:rFonts w:cs="Times New Roman"/>
          <w:szCs w:val="24"/>
        </w:rPr>
      </w:pPr>
      <m:oMath>
        <m:sSub>
          <m:sSubPr>
            <m:ctrlPr>
              <w:rPr>
                <w:rFonts w:ascii="Cambria Math" w:hAnsi="Cambria Math" w:cs="Times New Roman"/>
                <w:i/>
                <w:szCs w:val="24"/>
              </w:rPr>
            </m:ctrlPr>
          </m:sSubPr>
          <m:e>
            <m:r>
              <m:rPr/>
              <w:rPr>
                <w:rFonts w:ascii="Cambria Math" w:hAnsi="Cambria Math" w:cs="Times New Roman"/>
                <w:szCs w:val="24"/>
              </w:rPr>
              <m:t>S</m:t>
            </m:r>
            <m:ctrlPr>
              <w:rPr>
                <w:rFonts w:ascii="Cambria Math" w:hAnsi="Cambria Math" w:cs="Times New Roman"/>
                <w:i/>
                <w:szCs w:val="24"/>
              </w:rPr>
            </m:ctrlPr>
          </m:e>
          <m:sub>
            <m:r>
              <m:rPr>
                <m:sty m:val="p"/>
              </m:rPr>
              <w:rPr>
                <w:rFonts w:ascii="Cambria Math" w:hAnsi="Cambria Math" w:cs="Times New Roman"/>
                <w:szCs w:val="24"/>
              </w:rPr>
              <m:t>E</m:t>
            </m:r>
            <m:ctrlPr>
              <w:rPr>
                <w:rFonts w:ascii="Cambria Math" w:hAnsi="Cambria Math" w:cs="Times New Roman"/>
                <w:i/>
                <w:szCs w:val="24"/>
              </w:rPr>
            </m:ctrlPr>
          </m:sub>
        </m:sSub>
        <m:r>
          <m:rPr/>
          <w:rPr>
            <w:rFonts w:ascii="Cambria Math" w:hAnsi="Cambria Math" w:cs="Times New Roman"/>
            <w:szCs w:val="24"/>
          </w:rPr>
          <m:t>≤E</m:t>
        </m:r>
      </m:oMath>
      <w:r>
        <w:rPr>
          <w:rFonts w:cs="Times New Roman"/>
          <w:szCs w:val="24"/>
        </w:rPr>
        <w:t xml:space="preserve">                           （6.5.3）</w:t>
      </w:r>
    </w:p>
    <w:p w14:paraId="15B87BD0">
      <w:pPr>
        <w:tabs>
          <w:tab w:val="left" w:pos="0"/>
          <w:tab w:val="right" w:pos="1080"/>
        </w:tabs>
        <w:overflowPunct w:val="0"/>
        <w:topLinePunct/>
        <w:spacing w:before="156"/>
        <w:ind w:firstLine="480"/>
        <w:rPr>
          <w:rFonts w:cs="Times New Roman"/>
          <w:szCs w:val="24"/>
        </w:rPr>
      </w:pPr>
      <w:r>
        <w:rPr>
          <w:rFonts w:cs="Times New Roman"/>
          <w:szCs w:val="24"/>
        </w:rPr>
        <w:tab/>
      </w:r>
      <w:r>
        <w:rPr>
          <w:rFonts w:cs="Times New Roman"/>
          <w:szCs w:val="24"/>
        </w:rPr>
        <w:t>式中：</w:t>
      </w:r>
      <m:oMath>
        <m:sSub>
          <m:sSubPr>
            <m:ctrlPr>
              <w:rPr>
                <w:rFonts w:ascii="Cambria Math" w:hAnsi="Cambria Math" w:cs="Times New Roman"/>
                <w:i/>
                <w:szCs w:val="24"/>
              </w:rPr>
            </m:ctrlPr>
          </m:sSubPr>
          <m:e>
            <m:r>
              <m:rPr/>
              <w:rPr>
                <w:rFonts w:ascii="Cambria Math" w:hAnsi="Cambria Math" w:cs="Times New Roman"/>
                <w:szCs w:val="24"/>
              </w:rPr>
              <m:t>S</m:t>
            </m:r>
            <m:ctrlPr>
              <w:rPr>
                <w:rFonts w:ascii="Cambria Math" w:hAnsi="Cambria Math" w:cs="Times New Roman"/>
                <w:i/>
                <w:szCs w:val="24"/>
              </w:rPr>
            </m:ctrlPr>
          </m:e>
          <m:sub>
            <m:r>
              <m:rPr>
                <m:sty m:val="p"/>
              </m:rPr>
              <w:rPr>
                <w:rFonts w:ascii="Cambria Math" w:hAnsi="Cambria Math" w:cs="Times New Roman"/>
                <w:szCs w:val="24"/>
              </w:rPr>
              <m:t>E</m:t>
            </m:r>
            <m:ctrlPr>
              <w:rPr>
                <w:rFonts w:ascii="Cambria Math" w:hAnsi="Cambria Math" w:cs="Times New Roman"/>
                <w:i/>
                <w:szCs w:val="24"/>
              </w:rPr>
            </m:ctrlPr>
          </m:sub>
        </m:sSub>
      </m:oMath>
      <w:r>
        <w:rPr>
          <w:rFonts w:cs="Times New Roman"/>
          <w:szCs w:val="24"/>
        </w:rPr>
        <w:tab/>
      </w:r>
      <w:r>
        <w:rPr>
          <w:rFonts w:cs="Times New Roman"/>
          <w:szCs w:val="24"/>
        </w:rPr>
        <w:t>——环境振动荷载效应的标准值；</w:t>
      </w:r>
    </w:p>
    <w:p w14:paraId="6172A244">
      <w:pPr>
        <w:tabs>
          <w:tab w:val="left" w:pos="0"/>
          <w:tab w:val="right" w:pos="1080"/>
        </w:tabs>
        <w:overflowPunct w:val="0"/>
        <w:topLinePunct/>
        <w:spacing w:before="156"/>
        <w:ind w:firstLine="480"/>
        <w:rPr>
          <w:rFonts w:cs="Times New Roman"/>
          <w:szCs w:val="24"/>
        </w:rPr>
      </w:pPr>
      <w:r>
        <w:rPr>
          <w:rFonts w:cs="Times New Roman"/>
          <w:i/>
          <w:szCs w:val="24"/>
        </w:rPr>
        <w:tab/>
      </w:r>
      <w:r>
        <w:rPr>
          <w:rFonts w:cs="Times New Roman"/>
          <w:i/>
          <w:szCs w:val="24"/>
        </w:rPr>
        <w:t>E</w:t>
      </w:r>
      <w:r>
        <w:rPr>
          <w:rFonts w:cs="Times New Roman"/>
          <w:i/>
          <w:szCs w:val="24"/>
        </w:rPr>
        <w:tab/>
      </w:r>
      <w:r>
        <w:rPr>
          <w:rFonts w:cs="Times New Roman"/>
          <w:szCs w:val="24"/>
        </w:rPr>
        <w:t>——环境振动标准容许值。</w:t>
      </w:r>
    </w:p>
    <w:p w14:paraId="05C80464">
      <w:pPr>
        <w:overflowPunct w:val="0"/>
        <w:topLinePunct/>
        <w:spacing w:before="156"/>
        <w:ind w:firstLine="482"/>
        <w:rPr>
          <w:rFonts w:cs="Times New Roman"/>
          <w:szCs w:val="24"/>
        </w:rPr>
      </w:pPr>
      <w:r>
        <w:rPr>
          <w:rFonts w:cs="Times New Roman"/>
          <w:b/>
          <w:szCs w:val="24"/>
        </w:rPr>
        <w:t>6.5.4</w:t>
      </w:r>
      <w:r>
        <w:rPr>
          <w:rFonts w:cs="Times New Roman"/>
          <w:szCs w:val="24"/>
        </w:rPr>
        <w:t>　采用时域分析振动荷载效应组合时，应在时域进行组合计算；采用频域分析振动荷载效应组合时，可采用统计平均的方法。</w:t>
      </w:r>
    </w:p>
    <w:p w14:paraId="655D2334">
      <w:pPr>
        <w:overflowPunct w:val="0"/>
        <w:topLinePunct/>
        <w:spacing w:before="156"/>
        <w:ind w:firstLine="482"/>
        <w:rPr>
          <w:rFonts w:cs="Times New Roman"/>
          <w:szCs w:val="24"/>
        </w:rPr>
      </w:pPr>
      <w:r>
        <w:rPr>
          <w:rFonts w:cs="Times New Roman"/>
          <w:b/>
          <w:szCs w:val="24"/>
        </w:rPr>
        <w:t>6.5.5</w:t>
      </w:r>
      <w:r>
        <w:rPr>
          <w:rFonts w:cs="Times New Roman"/>
          <w:szCs w:val="24"/>
        </w:rPr>
        <w:t>　振动荷载组合方法宜符合下列规定：</w:t>
      </w:r>
    </w:p>
    <w:p w14:paraId="411C688B">
      <w:pPr>
        <w:overflowPunct w:val="0"/>
        <w:topLinePunct/>
        <w:spacing w:before="156"/>
        <w:ind w:firstLine="482"/>
        <w:rPr>
          <w:rFonts w:cs="Times New Roman"/>
          <w:szCs w:val="24"/>
        </w:rPr>
      </w:pPr>
      <w:r>
        <w:rPr>
          <w:rFonts w:cs="Times New Roman"/>
          <w:b/>
          <w:szCs w:val="24"/>
        </w:rPr>
        <w:t>1</w:t>
      </w:r>
      <w:r>
        <w:rPr>
          <w:rFonts w:cs="Times New Roman"/>
          <w:szCs w:val="24"/>
        </w:rPr>
        <w:t>　当多个周期性振动荷载或稳态随机振动荷载组合时，振动荷载均方根效应组合值，宜按下式计算：</w:t>
      </w:r>
    </w:p>
    <w:p w14:paraId="79E3707D">
      <w:pPr>
        <w:overflowPunct w:val="0"/>
        <w:topLinePunct/>
        <w:spacing w:before="156"/>
        <w:ind w:firstLine="480"/>
        <w:jc w:val="right"/>
        <w:rPr>
          <w:rFonts w:cs="Times New Roman"/>
          <w:szCs w:val="24"/>
        </w:rPr>
      </w:pPr>
      <m:oMath>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m:sty m:val="p"/>
              </m:rPr>
              <w:rPr>
                <w:rFonts w:ascii="Cambria Math" w:hAnsi="Cambria Math" w:cs="Times New Roman"/>
                <w:szCs w:val="24"/>
              </w:rPr>
              <m:t>vσ</m:t>
            </m:r>
            <m:ctrlPr>
              <w:rPr>
                <w:rFonts w:ascii="Cambria Math" w:hAnsi="Cambria Math" w:cs="Times New Roman"/>
                <w:szCs w:val="24"/>
              </w:rPr>
            </m:ctrlPr>
          </m:sub>
        </m:sSub>
        <m:r>
          <m:rPr/>
          <w:rPr>
            <w:rFonts w:ascii="Cambria Math" w:hAnsi="Cambria Math" w:cs="Times New Roman"/>
            <w:szCs w:val="24"/>
          </w:rPr>
          <m:t>=</m:t>
        </m:r>
        <m:rad>
          <m:radPr>
            <m:degHide m:val="1"/>
            <m:ctrlPr>
              <w:rPr>
                <w:rFonts w:ascii="Cambria Math" w:hAnsi="Cambria Math" w:cs="Times New Roman"/>
                <w:i/>
                <w:szCs w:val="24"/>
              </w:rPr>
            </m:ctrlPr>
          </m:radPr>
          <m:deg>
            <m:ctrlPr>
              <w:rPr>
                <w:rFonts w:ascii="Cambria Math" w:hAnsi="Cambria Math" w:cs="Times New Roman"/>
                <w:i/>
                <w:szCs w:val="24"/>
              </w:rPr>
            </m:ctrlPr>
          </m:deg>
          <m:e>
            <m:nary>
              <m:naryPr>
                <m:chr m:val="∑"/>
                <m:limLoc m:val="undOvr"/>
                <m:ctrlPr>
                  <w:rPr>
                    <w:rFonts w:ascii="Cambria Math" w:hAnsi="Cambria Math" w:cs="Times New Roman"/>
                    <w:i/>
                    <w:szCs w:val="24"/>
                  </w:rPr>
                </m:ctrlPr>
              </m:naryPr>
              <m:sub>
                <m:r>
                  <m:rPr/>
                  <w:rPr>
                    <w:rFonts w:ascii="Cambria Math" w:hAnsi="Cambria Math" w:cs="Times New Roman"/>
                    <w:szCs w:val="24"/>
                  </w:rPr>
                  <m:t>i=1</m:t>
                </m:r>
                <m:ctrlPr>
                  <w:rPr>
                    <w:rFonts w:ascii="Cambria Math" w:hAnsi="Cambria Math" w:cs="Times New Roman"/>
                    <w:i/>
                    <w:szCs w:val="24"/>
                  </w:rPr>
                </m:ctrlPr>
              </m:sub>
              <m:sup>
                <m:r>
                  <m:rPr/>
                  <w:rPr>
                    <w:rFonts w:ascii="Cambria Math" w:hAnsi="Cambria Math" w:cs="Times New Roman"/>
                    <w:szCs w:val="24"/>
                  </w:rPr>
                  <m:t>n</m:t>
                </m:r>
                <m:ctrlPr>
                  <w:rPr>
                    <w:rFonts w:ascii="Cambria Math" w:hAnsi="Cambria Math" w:cs="Times New Roman"/>
                    <w:i/>
                    <w:szCs w:val="24"/>
                  </w:rPr>
                </m:ctrlPr>
              </m:sup>
              <m:e>
                <m:sSubSup>
                  <m:sSubSupPr>
                    <m:ctrlPr>
                      <w:rPr>
                        <w:rFonts w:ascii="Cambria Math" w:hAnsi="Cambria Math" w:cs="Times New Roman"/>
                        <w:i/>
                        <w:szCs w:val="24"/>
                      </w:rPr>
                    </m:ctrlPr>
                  </m:sSubSupPr>
                  <m:e>
                    <m:r>
                      <m:rPr/>
                      <w:rPr>
                        <w:rFonts w:ascii="Cambria Math" w:hAnsi="Cambria Math" w:cs="Times New Roman"/>
                        <w:szCs w:val="24"/>
                      </w:rPr>
                      <m:t>S</m:t>
                    </m:r>
                    <m:ctrlPr>
                      <w:rPr>
                        <w:rFonts w:ascii="Cambria Math" w:hAnsi="Cambria Math" w:cs="Times New Roman"/>
                        <w:i/>
                        <w:szCs w:val="24"/>
                      </w:rPr>
                    </m:ctrlPr>
                  </m:e>
                  <m:sub>
                    <m:r>
                      <m:rPr>
                        <m:sty m:val="p"/>
                      </m:rPr>
                      <w:rPr>
                        <w:rFonts w:ascii="Cambria Math" w:hAnsi="Cambria Math" w:cs="Times New Roman"/>
                        <w:szCs w:val="24"/>
                      </w:rPr>
                      <m:t>vσi</m:t>
                    </m:r>
                    <m:ctrlPr>
                      <w:rPr>
                        <w:rFonts w:ascii="Cambria Math" w:hAnsi="Cambria Math" w:cs="Times New Roman"/>
                        <w:i/>
                        <w:szCs w:val="24"/>
                      </w:rPr>
                    </m:ctrlPr>
                  </m:sub>
                  <m:sup>
                    <m:r>
                      <m:rPr/>
                      <w:rPr>
                        <w:rFonts w:ascii="Cambria Math" w:hAnsi="Cambria Math" w:cs="Times New Roman"/>
                        <w:szCs w:val="24"/>
                      </w:rPr>
                      <m:t>2</m:t>
                    </m:r>
                    <m:ctrlPr>
                      <w:rPr>
                        <w:rFonts w:ascii="Cambria Math" w:hAnsi="Cambria Math" w:cs="Times New Roman"/>
                        <w:i/>
                        <w:szCs w:val="24"/>
                      </w:rPr>
                    </m:ctrlPr>
                  </m:sup>
                </m:sSubSup>
                <m:ctrlPr>
                  <w:rPr>
                    <w:rFonts w:ascii="Cambria Math" w:hAnsi="Cambria Math" w:cs="Times New Roman"/>
                    <w:i/>
                    <w:szCs w:val="24"/>
                  </w:rPr>
                </m:ctrlPr>
              </m:e>
            </m:nary>
            <m:ctrlPr>
              <w:rPr>
                <w:rFonts w:ascii="Cambria Math" w:hAnsi="Cambria Math" w:cs="Times New Roman"/>
                <w:i/>
                <w:szCs w:val="24"/>
              </w:rPr>
            </m:ctrlPr>
          </m:e>
        </m:rad>
      </m:oMath>
      <w:r>
        <w:rPr>
          <w:rFonts w:cs="Times New Roman"/>
          <w:szCs w:val="24"/>
        </w:rPr>
        <w:t xml:space="preserve">                  （6.5.5-1）</w:t>
      </w:r>
    </w:p>
    <w:p w14:paraId="255F5D01">
      <w:pPr>
        <w:tabs>
          <w:tab w:val="right" w:pos="0"/>
          <w:tab w:val="right" w:pos="1080"/>
        </w:tabs>
        <w:overflowPunct w:val="0"/>
        <w:topLinePunct/>
        <w:spacing w:before="156"/>
        <w:ind w:firstLine="480"/>
        <w:rPr>
          <w:rFonts w:cs="Times New Roman"/>
          <w:szCs w:val="24"/>
        </w:rPr>
      </w:pPr>
      <w:r>
        <w:rPr>
          <w:rFonts w:cs="Times New Roman"/>
          <w:szCs w:val="24"/>
        </w:rPr>
        <w:tab/>
      </w:r>
      <w:r>
        <w:rPr>
          <w:rFonts w:cs="Times New Roman"/>
          <w:szCs w:val="24"/>
        </w:rPr>
        <w:t xml:space="preserve">式中： </w:t>
      </w:r>
      <m:oMath>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m:sty m:val="p"/>
              </m:rPr>
              <w:rPr>
                <w:rFonts w:ascii="Cambria Math" w:hAnsi="Cambria Math" w:cs="Times New Roman"/>
                <w:szCs w:val="24"/>
              </w:rPr>
              <m:t>vσ</m:t>
            </m:r>
            <m:ctrlPr>
              <w:rPr>
                <w:rFonts w:ascii="Cambria Math" w:hAnsi="Cambria Math" w:cs="Times New Roman"/>
                <w:szCs w:val="24"/>
              </w:rPr>
            </m:ctrlPr>
          </m:sub>
        </m:sSub>
      </m:oMath>
      <w:r>
        <w:rPr>
          <w:rFonts w:cs="Times New Roman"/>
          <w:szCs w:val="24"/>
        </w:rPr>
        <w:tab/>
      </w:r>
      <w:r>
        <w:rPr>
          <w:rFonts w:cs="Times New Roman"/>
          <w:szCs w:val="24"/>
        </w:rPr>
        <w:t>——</w:t>
      </w:r>
      <w:r>
        <w:rPr>
          <w:rFonts w:cs="Times New Roman"/>
          <w:i/>
          <w:szCs w:val="24"/>
        </w:rPr>
        <w:t>n</w:t>
      </w:r>
      <w:r>
        <w:rPr>
          <w:rFonts w:cs="Times New Roman"/>
          <w:szCs w:val="24"/>
        </w:rPr>
        <w:t>个振动荷载均方根效应的组合值；</w:t>
      </w:r>
    </w:p>
    <w:p w14:paraId="567FB0ED">
      <w:pPr>
        <w:tabs>
          <w:tab w:val="right" w:pos="0"/>
          <w:tab w:val="right" w:pos="1080"/>
        </w:tabs>
        <w:overflowPunct w:val="0"/>
        <w:topLinePunct/>
        <w:spacing w:before="156"/>
        <w:ind w:firstLine="480"/>
        <w:rPr>
          <w:rFonts w:cs="Times New Roman"/>
          <w:szCs w:val="24"/>
        </w:rPr>
      </w:pPr>
      <w:r>
        <w:rPr>
          <w:rFonts w:cs="Times New Roman"/>
          <w:szCs w:val="24"/>
        </w:rPr>
        <w:tab/>
      </w:r>
      <w:r>
        <w:rPr>
          <w:rFonts w:cs="Times New Roman"/>
          <w:szCs w:val="24"/>
        </w:rPr>
        <w:tab/>
      </w:r>
      <m:oMath>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m:sty m:val="p"/>
              </m:rPr>
              <w:rPr>
                <w:rFonts w:ascii="Cambria Math" w:hAnsi="Cambria Math" w:cs="Times New Roman"/>
                <w:szCs w:val="24"/>
              </w:rPr>
              <m:t>vσi</m:t>
            </m:r>
            <m:ctrlPr>
              <w:rPr>
                <w:rFonts w:ascii="Cambria Math" w:hAnsi="Cambria Math" w:cs="Times New Roman"/>
                <w:szCs w:val="24"/>
              </w:rPr>
            </m:ctrlPr>
          </m:sub>
        </m:sSub>
      </m:oMath>
      <w:r>
        <w:rPr>
          <w:rFonts w:cs="Times New Roman"/>
          <w:szCs w:val="24"/>
        </w:rPr>
        <w:tab/>
      </w:r>
      <w:r>
        <w:rPr>
          <w:rFonts w:cs="Times New Roman"/>
          <w:szCs w:val="24"/>
        </w:rPr>
        <w:t>——第</w:t>
      </w:r>
      <w:r>
        <w:rPr>
          <w:rFonts w:cs="Times New Roman"/>
          <w:i/>
          <w:szCs w:val="24"/>
        </w:rPr>
        <w:t>i</w:t>
      </w:r>
      <w:r>
        <w:rPr>
          <w:rFonts w:cs="Times New Roman"/>
          <w:szCs w:val="24"/>
        </w:rPr>
        <w:t>个振动荷载效应的均方根值；</w:t>
      </w:r>
    </w:p>
    <w:p w14:paraId="7BB34B76">
      <w:pPr>
        <w:tabs>
          <w:tab w:val="right" w:pos="0"/>
          <w:tab w:val="right" w:pos="1080"/>
        </w:tabs>
        <w:overflowPunct w:val="0"/>
        <w:topLinePunct/>
        <w:spacing w:before="156"/>
        <w:ind w:firstLine="480"/>
        <w:rPr>
          <w:rFonts w:cs="Times New Roman"/>
          <w:szCs w:val="24"/>
        </w:rPr>
      </w:pPr>
      <w:r>
        <w:rPr>
          <w:rFonts w:cs="Times New Roman"/>
          <w:i/>
          <w:szCs w:val="24"/>
        </w:rPr>
        <w:tab/>
      </w:r>
      <w:r>
        <w:rPr>
          <w:rFonts w:cs="Times New Roman"/>
          <w:i/>
          <w:szCs w:val="24"/>
        </w:rPr>
        <w:tab/>
      </w:r>
      <w:r>
        <w:rPr>
          <w:rFonts w:cs="Times New Roman"/>
          <w:i/>
          <w:szCs w:val="24"/>
        </w:rPr>
        <w:t>n</w:t>
      </w:r>
      <w:r>
        <w:rPr>
          <w:rFonts w:cs="Times New Roman"/>
          <w:i/>
          <w:szCs w:val="24"/>
        </w:rPr>
        <w:tab/>
      </w:r>
      <w:r>
        <w:rPr>
          <w:rFonts w:cs="Times New Roman"/>
          <w:szCs w:val="24"/>
        </w:rPr>
        <w:t>——振动荷载的总数量。</w:t>
      </w:r>
    </w:p>
    <w:p w14:paraId="2862E621">
      <w:pPr>
        <w:overflowPunct w:val="0"/>
        <w:topLinePunct/>
        <w:spacing w:before="156"/>
        <w:ind w:firstLine="482"/>
        <w:rPr>
          <w:rFonts w:cs="Times New Roman"/>
          <w:szCs w:val="24"/>
        </w:rPr>
      </w:pPr>
      <w:r>
        <w:rPr>
          <w:rFonts w:cs="Times New Roman"/>
          <w:b/>
          <w:szCs w:val="24"/>
        </w:rPr>
        <w:t>2</w:t>
      </w:r>
      <w:r>
        <w:rPr>
          <w:rFonts w:cs="Times New Roman"/>
          <w:szCs w:val="24"/>
        </w:rPr>
        <w:t>　当两个周期性振动荷载作用时，振动荷载效应组合的最大值，宜按下式计算：</w:t>
      </w:r>
    </w:p>
    <w:p w14:paraId="752347FE">
      <w:pPr>
        <w:overflowPunct w:val="0"/>
        <w:topLinePunct/>
        <w:spacing w:before="156"/>
        <w:ind w:firstLine="480"/>
        <w:jc w:val="right"/>
        <w:rPr>
          <w:rFonts w:cs="Times New Roman"/>
          <w:szCs w:val="24"/>
        </w:rPr>
      </w:pPr>
      <m:oMath>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m:sty m:val="p"/>
              </m:rPr>
              <w:rPr>
                <w:rFonts w:ascii="Cambria Math" w:hAnsi="Cambria Math" w:cs="Times New Roman"/>
                <w:szCs w:val="24"/>
              </w:rPr>
              <m:t>max</m:t>
            </m:r>
            <m:ctrlPr>
              <w:rPr>
                <w:rFonts w:ascii="Cambria Math" w:hAnsi="Cambria Math" w:cs="Times New Roman"/>
                <w:szCs w:val="24"/>
              </w:rPr>
            </m:ctrlPr>
          </m:sub>
        </m:sSub>
        <m:r>
          <m:rPr/>
          <w:rPr>
            <w:rFonts w:ascii="Cambria Math" w:hAnsi="Cambria Math" w:cs="Times New Roman"/>
            <w:szCs w:val="24"/>
          </w:rPr>
          <m:t>=</m:t>
        </m:r>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m:sty m:val="p"/>
              </m:rPr>
              <w:rPr>
                <w:rFonts w:ascii="Cambria Math" w:hAnsi="Cambria Math" w:cs="Times New Roman"/>
                <w:szCs w:val="24"/>
              </w:rPr>
              <m:t>1max</m:t>
            </m:r>
            <m:ctrlPr>
              <w:rPr>
                <w:rFonts w:ascii="Cambria Math" w:hAnsi="Cambria Math" w:cs="Times New Roman"/>
                <w:szCs w:val="24"/>
              </w:rPr>
            </m:ctrlPr>
          </m:sub>
        </m:sSub>
        <m:r>
          <m:rPr/>
          <w:rPr>
            <w:rFonts w:ascii="Cambria Math" w:hAnsi="Cambria Math" w:cs="Times New Roman"/>
            <w:szCs w:val="24"/>
          </w:rPr>
          <m:t>+</m:t>
        </m:r>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m:sty m:val="p"/>
              </m:rPr>
              <w:rPr>
                <w:rFonts w:ascii="Cambria Math" w:hAnsi="Cambria Math" w:cs="Times New Roman"/>
                <w:szCs w:val="24"/>
              </w:rPr>
              <m:t>2max</m:t>
            </m:r>
            <m:ctrlPr>
              <w:rPr>
                <w:rFonts w:ascii="Cambria Math" w:hAnsi="Cambria Math" w:cs="Times New Roman"/>
                <w:szCs w:val="24"/>
              </w:rPr>
            </m:ctrlPr>
          </m:sub>
        </m:sSub>
      </m:oMath>
      <w:r>
        <w:rPr>
          <w:rFonts w:cs="Times New Roman"/>
          <w:szCs w:val="24"/>
        </w:rPr>
        <w:t xml:space="preserve">               （6.5.5-2）</w:t>
      </w:r>
    </w:p>
    <w:p w14:paraId="658DCA77">
      <w:pPr>
        <w:tabs>
          <w:tab w:val="left" w:pos="0"/>
          <w:tab w:val="right" w:pos="1080"/>
        </w:tabs>
        <w:overflowPunct w:val="0"/>
        <w:topLinePunct/>
        <w:spacing w:before="156"/>
        <w:ind w:firstLine="480"/>
        <w:rPr>
          <w:rFonts w:cs="Times New Roman"/>
          <w:szCs w:val="24"/>
        </w:rPr>
      </w:pPr>
      <w:r>
        <w:rPr>
          <w:rFonts w:cs="Times New Roman"/>
          <w:szCs w:val="24"/>
        </w:rPr>
        <w:tab/>
      </w:r>
      <w:r>
        <w:rPr>
          <w:rFonts w:cs="Times New Roman"/>
          <w:szCs w:val="24"/>
        </w:rPr>
        <w:t>式中：</w:t>
      </w:r>
      <m:oMath>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m:sty m:val="p"/>
              </m:rPr>
              <w:rPr>
                <w:rFonts w:ascii="Cambria Math" w:hAnsi="Cambria Math" w:cs="Times New Roman"/>
                <w:szCs w:val="24"/>
              </w:rPr>
              <m:t>max</m:t>
            </m:r>
            <m:ctrlPr>
              <w:rPr>
                <w:rFonts w:ascii="Cambria Math" w:hAnsi="Cambria Math" w:cs="Times New Roman"/>
                <w:szCs w:val="24"/>
              </w:rPr>
            </m:ctrlPr>
          </m:sub>
        </m:sSub>
      </m:oMath>
      <w:r>
        <w:rPr>
          <w:rFonts w:cs="Times New Roman"/>
          <w:szCs w:val="24"/>
        </w:rPr>
        <w:tab/>
      </w:r>
      <w:r>
        <w:rPr>
          <w:rFonts w:cs="Times New Roman"/>
          <w:szCs w:val="24"/>
        </w:rPr>
        <w:t>——两个振动荷载效应组合的最大值；</w:t>
      </w:r>
    </w:p>
    <w:p w14:paraId="0B9D265A">
      <w:pPr>
        <w:tabs>
          <w:tab w:val="left" w:pos="0"/>
          <w:tab w:val="right" w:pos="1080"/>
        </w:tabs>
        <w:overflowPunct w:val="0"/>
        <w:topLinePunct/>
        <w:spacing w:before="156"/>
        <w:ind w:firstLine="480"/>
        <w:rPr>
          <w:rFonts w:cs="Times New Roman"/>
          <w:szCs w:val="24"/>
        </w:rPr>
      </w:pPr>
      <w:r>
        <w:rPr>
          <w:rFonts w:cs="Times New Roman"/>
          <w:szCs w:val="24"/>
        </w:rPr>
        <w:tab/>
      </w:r>
      <m:oMath>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m:sty m:val="p"/>
              </m:rPr>
              <w:rPr>
                <w:rFonts w:ascii="Cambria Math" w:hAnsi="Cambria Math" w:cs="Times New Roman"/>
                <w:szCs w:val="24"/>
              </w:rPr>
              <m:t>1max</m:t>
            </m:r>
            <m:ctrlPr>
              <w:rPr>
                <w:rFonts w:ascii="Cambria Math" w:hAnsi="Cambria Math" w:cs="Times New Roman"/>
                <w:szCs w:val="24"/>
              </w:rPr>
            </m:ctrlPr>
          </m:sub>
        </m:sSub>
      </m:oMath>
      <w:r>
        <w:rPr>
          <w:rFonts w:cs="Times New Roman"/>
          <w:szCs w:val="24"/>
        </w:rPr>
        <w:tab/>
      </w:r>
      <w:r>
        <w:rPr>
          <w:rFonts w:cs="Times New Roman"/>
          <w:szCs w:val="24"/>
        </w:rPr>
        <w:t>——第1个振动荷载效应的最大值；</w:t>
      </w:r>
    </w:p>
    <w:p w14:paraId="26D50C7C">
      <w:pPr>
        <w:tabs>
          <w:tab w:val="left" w:pos="0"/>
          <w:tab w:val="right" w:pos="1080"/>
        </w:tabs>
        <w:overflowPunct w:val="0"/>
        <w:topLinePunct/>
        <w:spacing w:before="156"/>
        <w:ind w:firstLine="480"/>
        <w:rPr>
          <w:rFonts w:cs="Times New Roman"/>
          <w:szCs w:val="24"/>
        </w:rPr>
      </w:pPr>
      <w:r>
        <w:rPr>
          <w:rFonts w:cs="Times New Roman"/>
          <w:szCs w:val="24"/>
        </w:rPr>
        <w:tab/>
      </w:r>
      <m:oMath>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m:sty m:val="p"/>
              </m:rPr>
              <w:rPr>
                <w:rFonts w:ascii="Cambria Math" w:hAnsi="Cambria Math" w:cs="Times New Roman"/>
                <w:szCs w:val="24"/>
              </w:rPr>
              <m:t>2max</m:t>
            </m:r>
            <m:ctrlPr>
              <w:rPr>
                <w:rFonts w:ascii="Cambria Math" w:hAnsi="Cambria Math" w:cs="Times New Roman"/>
                <w:szCs w:val="24"/>
              </w:rPr>
            </m:ctrlPr>
          </m:sub>
        </m:sSub>
      </m:oMath>
      <w:r>
        <w:rPr>
          <w:rFonts w:cs="Times New Roman"/>
          <w:szCs w:val="24"/>
        </w:rPr>
        <w:tab/>
      </w:r>
      <w:r>
        <w:rPr>
          <w:rFonts w:cs="Times New Roman"/>
          <w:szCs w:val="24"/>
        </w:rPr>
        <w:t>——第2个振动荷载效应的最大值。</w:t>
      </w:r>
    </w:p>
    <w:p w14:paraId="564CB6F4">
      <w:pPr>
        <w:overflowPunct w:val="0"/>
        <w:topLinePunct/>
        <w:spacing w:before="156"/>
        <w:ind w:firstLine="482"/>
        <w:rPr>
          <w:rFonts w:cs="Times New Roman"/>
          <w:szCs w:val="24"/>
        </w:rPr>
      </w:pPr>
      <w:r>
        <w:rPr>
          <w:rFonts w:cs="Times New Roman"/>
          <w:b/>
          <w:szCs w:val="24"/>
        </w:rPr>
        <w:t>3</w:t>
      </w:r>
      <w:r>
        <w:rPr>
          <w:rFonts w:cs="Times New Roman"/>
          <w:szCs w:val="24"/>
        </w:rPr>
        <w:t>　当冲击荷载起控制作用时，振动荷载效应组合，宜按下式计算：</w:t>
      </w:r>
    </w:p>
    <w:p w14:paraId="58139A89">
      <w:pPr>
        <w:overflowPunct w:val="0"/>
        <w:topLinePunct/>
        <w:spacing w:before="156"/>
        <w:ind w:firstLine="480"/>
        <w:jc w:val="right"/>
        <w:rPr>
          <w:rFonts w:cs="Times New Roman"/>
          <w:szCs w:val="24"/>
        </w:rPr>
      </w:pPr>
      <m:oMath>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m:sty m:val="p"/>
              </m:rPr>
              <w:rPr>
                <w:rFonts w:ascii="Cambria Math" w:hAnsi="Cambria Math" w:cs="Times New Roman"/>
                <w:szCs w:val="24"/>
              </w:rPr>
              <m:t>vp</m:t>
            </m:r>
            <m:ctrlPr>
              <w:rPr>
                <w:rFonts w:ascii="Cambria Math" w:hAnsi="Cambria Math" w:cs="Times New Roman"/>
                <w:szCs w:val="24"/>
              </w:rPr>
            </m:ctrlPr>
          </m:sub>
        </m:sSub>
        <m:r>
          <m:rPr/>
          <w:rPr>
            <w:rFonts w:ascii="Cambria Math" w:hAnsi="Cambria Math" w:cs="Times New Roman"/>
            <w:szCs w:val="24"/>
          </w:rPr>
          <m:t>=</m:t>
        </m:r>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m:sty m:val="p"/>
              </m:rPr>
              <w:rPr>
                <w:rFonts w:ascii="Cambria Math" w:hAnsi="Cambria Math" w:cs="Times New Roman"/>
                <w:szCs w:val="24"/>
              </w:rPr>
              <m:t>vmax</m:t>
            </m:r>
            <m:ctrlPr>
              <w:rPr>
                <w:rFonts w:ascii="Cambria Math" w:hAnsi="Cambria Math" w:cs="Times New Roman"/>
                <w:szCs w:val="24"/>
              </w:rPr>
            </m:ctrlPr>
          </m:sub>
        </m:sSub>
        <m:r>
          <m:rPr/>
          <w:rPr>
            <w:rFonts w:ascii="Cambria Math" w:hAnsi="Cambria Math" w:cs="Times New Roman"/>
            <w:szCs w:val="24"/>
          </w:rPr>
          <m:t>+</m:t>
        </m:r>
        <m:sSub>
          <m:sSubPr>
            <m:ctrlPr>
              <w:rPr>
                <w:rFonts w:ascii="Cambria Math" w:hAnsi="Cambria Math" w:cs="Times New Roman"/>
                <w:i/>
                <w:szCs w:val="24"/>
              </w:rPr>
            </m:ctrlPr>
          </m:sSubPr>
          <m:e>
            <m:r>
              <m:rPr/>
              <w:rPr>
                <w:rFonts w:ascii="Cambria Math" w:hAnsi="Cambria Math" w:cs="Times New Roman"/>
                <w:szCs w:val="24"/>
              </w:rPr>
              <m:t>α</m:t>
            </m:r>
            <m:ctrlPr>
              <w:rPr>
                <w:rFonts w:ascii="Cambria Math" w:hAnsi="Cambria Math" w:cs="Times New Roman"/>
                <w:i/>
                <w:szCs w:val="24"/>
              </w:rPr>
            </m:ctrlPr>
          </m:e>
          <m:sub>
            <m:r>
              <m:rPr>
                <m:sty m:val="p"/>
              </m:rPr>
              <w:rPr>
                <w:rFonts w:ascii="Cambria Math" w:hAnsi="Cambria Math" w:cs="Times New Roman"/>
                <w:szCs w:val="24"/>
              </w:rPr>
              <m:t>k</m:t>
            </m:r>
            <m:ctrlPr>
              <w:rPr>
                <w:rFonts w:ascii="Cambria Math" w:hAnsi="Cambria Math" w:cs="Times New Roman"/>
                <w:i/>
                <w:szCs w:val="24"/>
              </w:rPr>
            </m:ctrlPr>
          </m:sub>
        </m:sSub>
        <m:rad>
          <m:radPr>
            <m:degHide m:val="1"/>
            <m:ctrlPr>
              <w:rPr>
                <w:rFonts w:ascii="Cambria Math" w:hAnsi="Cambria Math" w:cs="Times New Roman"/>
                <w:i/>
                <w:szCs w:val="24"/>
              </w:rPr>
            </m:ctrlPr>
          </m:radPr>
          <m:deg>
            <m:ctrlPr>
              <w:rPr>
                <w:rFonts w:ascii="Cambria Math" w:hAnsi="Cambria Math" w:cs="Times New Roman"/>
                <w:i/>
                <w:szCs w:val="24"/>
              </w:rPr>
            </m:ctrlPr>
          </m:deg>
          <m:e>
            <m:nary>
              <m:naryPr>
                <m:chr m:val="∑"/>
                <m:limLoc m:val="undOvr"/>
                <m:ctrlPr>
                  <w:rPr>
                    <w:rFonts w:ascii="Cambria Math" w:hAnsi="Cambria Math" w:cs="Times New Roman"/>
                    <w:i/>
                    <w:szCs w:val="24"/>
                  </w:rPr>
                </m:ctrlPr>
              </m:naryPr>
              <m:sub>
                <m:r>
                  <m:rPr/>
                  <w:rPr>
                    <w:rFonts w:ascii="Cambria Math" w:hAnsi="Cambria Math" w:cs="Times New Roman"/>
                    <w:szCs w:val="24"/>
                  </w:rPr>
                  <m:t>i=1</m:t>
                </m:r>
                <m:ctrlPr>
                  <w:rPr>
                    <w:rFonts w:ascii="Cambria Math" w:hAnsi="Cambria Math" w:cs="Times New Roman"/>
                    <w:i/>
                    <w:szCs w:val="24"/>
                  </w:rPr>
                </m:ctrlPr>
              </m:sub>
              <m:sup>
                <m:r>
                  <m:rPr/>
                  <w:rPr>
                    <w:rFonts w:ascii="Cambria Math" w:hAnsi="Cambria Math" w:cs="Times New Roman"/>
                    <w:szCs w:val="24"/>
                  </w:rPr>
                  <m:t>n</m:t>
                </m:r>
                <m:ctrlPr>
                  <w:rPr>
                    <w:rFonts w:ascii="Cambria Math" w:hAnsi="Cambria Math" w:cs="Times New Roman"/>
                    <w:i/>
                    <w:szCs w:val="24"/>
                  </w:rPr>
                </m:ctrlPr>
              </m:sup>
              <m:e>
                <m:sSubSup>
                  <m:sSubSupPr>
                    <m:ctrlPr>
                      <w:rPr>
                        <w:rFonts w:ascii="Cambria Math" w:hAnsi="Cambria Math" w:cs="Times New Roman"/>
                        <w:i/>
                        <w:szCs w:val="24"/>
                      </w:rPr>
                    </m:ctrlPr>
                  </m:sSubSupPr>
                  <m:e>
                    <m:r>
                      <m:rPr/>
                      <w:rPr>
                        <w:rFonts w:ascii="Cambria Math" w:hAnsi="Cambria Math" w:cs="Times New Roman"/>
                        <w:szCs w:val="24"/>
                      </w:rPr>
                      <m:t>S</m:t>
                    </m:r>
                    <m:ctrlPr>
                      <w:rPr>
                        <w:rFonts w:ascii="Cambria Math" w:hAnsi="Cambria Math" w:cs="Times New Roman"/>
                        <w:i/>
                        <w:szCs w:val="24"/>
                      </w:rPr>
                    </m:ctrlPr>
                  </m:e>
                  <m:sub>
                    <m:r>
                      <m:rPr>
                        <m:sty m:val="p"/>
                      </m:rPr>
                      <w:rPr>
                        <w:rFonts w:ascii="Cambria Math" w:hAnsi="Cambria Math" w:cs="Times New Roman"/>
                        <w:szCs w:val="24"/>
                      </w:rPr>
                      <m:t>vσi</m:t>
                    </m:r>
                    <m:ctrlPr>
                      <w:rPr>
                        <w:rFonts w:ascii="Cambria Math" w:hAnsi="Cambria Math" w:cs="Times New Roman"/>
                        <w:i/>
                        <w:szCs w:val="24"/>
                      </w:rPr>
                    </m:ctrlPr>
                  </m:sub>
                  <m:sup>
                    <m:r>
                      <m:rPr/>
                      <w:rPr>
                        <w:rFonts w:ascii="Cambria Math" w:hAnsi="Cambria Math" w:cs="Times New Roman"/>
                        <w:szCs w:val="24"/>
                      </w:rPr>
                      <m:t>2</m:t>
                    </m:r>
                    <m:ctrlPr>
                      <w:rPr>
                        <w:rFonts w:ascii="Cambria Math" w:hAnsi="Cambria Math" w:cs="Times New Roman"/>
                        <w:i/>
                        <w:szCs w:val="24"/>
                      </w:rPr>
                    </m:ctrlPr>
                  </m:sup>
                </m:sSubSup>
                <m:ctrlPr>
                  <w:rPr>
                    <w:rFonts w:ascii="Cambria Math" w:hAnsi="Cambria Math" w:cs="Times New Roman"/>
                    <w:i/>
                    <w:szCs w:val="24"/>
                  </w:rPr>
                </m:ctrlPr>
              </m:e>
            </m:nary>
            <m:ctrlPr>
              <w:rPr>
                <w:rFonts w:ascii="Cambria Math" w:hAnsi="Cambria Math" w:cs="Times New Roman"/>
                <w:i/>
                <w:szCs w:val="24"/>
              </w:rPr>
            </m:ctrlPr>
          </m:e>
        </m:rad>
      </m:oMath>
      <w:r>
        <w:rPr>
          <w:rFonts w:cs="Times New Roman"/>
          <w:szCs w:val="24"/>
        </w:rPr>
        <w:t xml:space="preserve">                 （6.5.5-3）</w:t>
      </w:r>
    </w:p>
    <w:p w14:paraId="031C6931">
      <w:pPr>
        <w:tabs>
          <w:tab w:val="left" w:pos="0"/>
          <w:tab w:val="right" w:pos="1080"/>
        </w:tabs>
        <w:overflowPunct w:val="0"/>
        <w:topLinePunct/>
        <w:spacing w:before="156"/>
        <w:ind w:firstLine="480"/>
        <w:rPr>
          <w:rFonts w:cs="Times New Roman"/>
          <w:szCs w:val="24"/>
        </w:rPr>
      </w:pPr>
      <w:r>
        <w:rPr>
          <w:rFonts w:cs="Times New Roman"/>
          <w:szCs w:val="24"/>
        </w:rPr>
        <w:tab/>
      </w:r>
      <w:r>
        <w:rPr>
          <w:rFonts w:cs="Times New Roman"/>
          <w:szCs w:val="24"/>
        </w:rPr>
        <w:t>式中：</w:t>
      </w:r>
      <m:oMath>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m:sty m:val="p"/>
              </m:rPr>
              <w:rPr>
                <w:rFonts w:ascii="Cambria Math" w:hAnsi="Cambria Math" w:cs="Times New Roman"/>
                <w:szCs w:val="24"/>
              </w:rPr>
              <m:t>vp</m:t>
            </m:r>
            <m:ctrlPr>
              <w:rPr>
                <w:rFonts w:ascii="Cambria Math" w:hAnsi="Cambria Math" w:cs="Times New Roman"/>
                <w:szCs w:val="24"/>
              </w:rPr>
            </m:ctrlPr>
          </m:sub>
        </m:sSub>
      </m:oMath>
      <w:r>
        <w:rPr>
          <w:rFonts w:cs="Times New Roman"/>
          <w:szCs w:val="24"/>
        </w:rPr>
        <w:tab/>
      </w:r>
      <w:r>
        <w:rPr>
          <w:rFonts w:cs="Times New Roman"/>
          <w:szCs w:val="24"/>
        </w:rPr>
        <w:t>——当冲击荷载控制时，在时域范围上效应的组合值；</w:t>
      </w:r>
    </w:p>
    <w:p w14:paraId="73FC3418">
      <w:pPr>
        <w:tabs>
          <w:tab w:val="left" w:pos="0"/>
          <w:tab w:val="right" w:pos="1080"/>
        </w:tabs>
        <w:overflowPunct w:val="0"/>
        <w:topLinePunct/>
        <w:spacing w:before="156"/>
        <w:ind w:firstLine="480"/>
        <w:rPr>
          <w:rFonts w:cs="Times New Roman"/>
          <w:szCs w:val="24"/>
        </w:rPr>
      </w:pPr>
      <w:r>
        <w:rPr>
          <w:rFonts w:cs="Times New Roman"/>
          <w:szCs w:val="24"/>
        </w:rPr>
        <w:tab/>
      </w:r>
      <m:oMath>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m:sty m:val="p"/>
              </m:rPr>
              <w:rPr>
                <w:rFonts w:ascii="Cambria Math" w:hAnsi="Cambria Math" w:cs="Times New Roman"/>
                <w:szCs w:val="24"/>
              </w:rPr>
              <m:t>vmax</m:t>
            </m:r>
            <m:ctrlPr>
              <w:rPr>
                <w:rFonts w:ascii="Cambria Math" w:hAnsi="Cambria Math" w:cs="Times New Roman"/>
                <w:szCs w:val="24"/>
              </w:rPr>
            </m:ctrlPr>
          </m:sub>
        </m:sSub>
      </m:oMath>
      <w:r>
        <w:rPr>
          <w:rFonts w:cs="Times New Roman"/>
          <w:szCs w:val="24"/>
        </w:rPr>
        <w:tab/>
      </w:r>
      <w:r>
        <w:rPr>
          <w:rFonts w:cs="Times New Roman"/>
          <w:szCs w:val="24"/>
        </w:rPr>
        <w:t>——冲击荷载效应在时域上的最大值；</w:t>
      </w:r>
    </w:p>
    <w:p w14:paraId="2D677EDF">
      <w:pPr>
        <w:tabs>
          <w:tab w:val="left" w:pos="0"/>
          <w:tab w:val="right" w:pos="1080"/>
        </w:tabs>
        <w:overflowPunct w:val="0"/>
        <w:topLinePunct/>
        <w:spacing w:before="156"/>
        <w:ind w:firstLine="480"/>
        <w:rPr>
          <w:rFonts w:cs="Times New Roman"/>
          <w:szCs w:val="24"/>
        </w:rPr>
      </w:pPr>
      <w:r>
        <w:rPr>
          <w:rFonts w:cs="Times New Roman"/>
          <w:szCs w:val="24"/>
        </w:rPr>
        <w:tab/>
      </w:r>
      <m:oMath>
        <m:sSub>
          <m:sSubPr>
            <m:ctrlPr>
              <w:rPr>
                <w:rFonts w:ascii="Cambria Math" w:hAnsi="Cambria Math" w:cs="Times New Roman"/>
                <w:i/>
                <w:szCs w:val="24"/>
              </w:rPr>
            </m:ctrlPr>
          </m:sSubPr>
          <m:e>
            <m:r>
              <m:rPr/>
              <w:rPr>
                <w:rFonts w:ascii="Cambria Math" w:hAnsi="Cambria Math" w:cs="Times New Roman"/>
                <w:szCs w:val="24"/>
              </w:rPr>
              <m:t>α</m:t>
            </m:r>
            <m:ctrlPr>
              <w:rPr>
                <w:rFonts w:ascii="Cambria Math" w:hAnsi="Cambria Math" w:cs="Times New Roman"/>
                <w:i/>
                <w:szCs w:val="24"/>
              </w:rPr>
            </m:ctrlPr>
          </m:e>
          <m:sub>
            <m:r>
              <m:rPr>
                <m:sty m:val="p"/>
              </m:rPr>
              <w:rPr>
                <w:rFonts w:ascii="Cambria Math" w:hAnsi="Cambria Math" w:cs="Times New Roman"/>
                <w:szCs w:val="24"/>
              </w:rPr>
              <m:t>k</m:t>
            </m:r>
            <m:ctrlPr>
              <w:rPr>
                <w:rFonts w:ascii="Cambria Math" w:hAnsi="Cambria Math" w:cs="Times New Roman"/>
                <w:i/>
                <w:szCs w:val="24"/>
              </w:rPr>
            </m:ctrlPr>
          </m:sub>
        </m:sSub>
      </m:oMath>
      <w:r>
        <w:rPr>
          <w:rFonts w:cs="Times New Roman"/>
          <w:szCs w:val="24"/>
        </w:rPr>
        <w:tab/>
      </w:r>
      <w:r>
        <w:rPr>
          <w:rFonts w:cs="Times New Roman"/>
          <w:szCs w:val="24"/>
        </w:rPr>
        <w:t>——冲击作用下的组合系数，可按表6.5.5取值。</w:t>
      </w:r>
    </w:p>
    <w:p w14:paraId="767B0F0B">
      <w:pPr>
        <w:overflowPunct w:val="0"/>
        <w:topLinePunct/>
        <w:spacing w:before="156" w:line="312" w:lineRule="auto"/>
        <w:ind w:firstLine="482"/>
        <w:jc w:val="center"/>
        <w:rPr>
          <w:rFonts w:cs="Times New Roman"/>
          <w:b/>
          <w:szCs w:val="24"/>
        </w:rPr>
      </w:pPr>
      <w:r>
        <w:rPr>
          <w:rFonts w:cs="Times New Roman"/>
          <w:b/>
          <w:szCs w:val="24"/>
        </w:rPr>
        <w:t>表6.5.5　冲击作用下的组合系数</w:t>
      </w:r>
    </w:p>
    <w:tbl>
      <w:tblPr>
        <w:tblStyle w:val="32"/>
        <w:tblW w:w="37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4"/>
        <w:gridCol w:w="1137"/>
        <w:gridCol w:w="1500"/>
        <w:gridCol w:w="1498"/>
      </w:tblGrid>
      <w:tr w14:paraId="00605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3" w:type="pct"/>
            <w:vAlign w:val="center"/>
          </w:tcPr>
          <w:p w14:paraId="69FD179F">
            <w:pPr>
              <w:pStyle w:val="39"/>
            </w:pPr>
            <w:r>
              <w:t>振动荷载数</w:t>
            </w:r>
          </w:p>
        </w:tc>
        <w:tc>
          <w:tcPr>
            <w:tcW w:w="846" w:type="pct"/>
            <w:vAlign w:val="center"/>
          </w:tcPr>
          <w:p w14:paraId="2D802E11">
            <w:pPr>
              <w:pStyle w:val="39"/>
            </w:pPr>
            <w:r>
              <w:t>1</w:t>
            </w:r>
          </w:p>
        </w:tc>
        <w:tc>
          <w:tcPr>
            <w:tcW w:w="1116" w:type="pct"/>
            <w:vAlign w:val="center"/>
          </w:tcPr>
          <w:p w14:paraId="29740CF5">
            <w:pPr>
              <w:pStyle w:val="39"/>
            </w:pPr>
            <w:r>
              <w:t>2</w:t>
            </w:r>
          </w:p>
        </w:tc>
        <w:tc>
          <w:tcPr>
            <w:tcW w:w="1115" w:type="pct"/>
            <w:vAlign w:val="center"/>
          </w:tcPr>
          <w:p w14:paraId="6421D11E">
            <w:pPr>
              <w:pStyle w:val="39"/>
            </w:pPr>
            <w:r>
              <w:t>≥3</w:t>
            </w:r>
          </w:p>
        </w:tc>
      </w:tr>
      <w:tr w14:paraId="72D2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3" w:type="pct"/>
            <w:vAlign w:val="center"/>
          </w:tcPr>
          <w:p w14:paraId="0BB5EEED">
            <w:pPr>
              <w:pStyle w:val="39"/>
            </w:pPr>
            <w:r>
              <w:t xml:space="preserve">组合系数 </w:t>
            </w:r>
            <m:oMath>
              <m:sSub>
                <m:sSubPr>
                  <m:ctrlPr>
                    <w:rPr>
                      <w:i/>
                    </w:rPr>
                  </m:ctrlPr>
                </m:sSubPr>
                <m:e>
                  <m:r>
                    <m:rPr/>
                    <m:t>α</m:t>
                  </m:r>
                  <m:ctrlPr>
                    <w:rPr>
                      <w:i/>
                    </w:rPr>
                  </m:ctrlPr>
                </m:e>
                <m:sub>
                  <m:r>
                    <m:rPr>
                      <m:sty m:val="p"/>
                    </m:rPr>
                    <m:t>k</m:t>
                  </m:r>
                  <m:ctrlPr>
                    <w:rPr>
                      <w:i/>
                    </w:rPr>
                  </m:ctrlPr>
                </m:sub>
              </m:sSub>
            </m:oMath>
          </w:p>
        </w:tc>
        <w:tc>
          <w:tcPr>
            <w:tcW w:w="846" w:type="pct"/>
            <w:vAlign w:val="center"/>
          </w:tcPr>
          <w:p w14:paraId="5D9BB0CC">
            <w:pPr>
              <w:pStyle w:val="39"/>
            </w:pPr>
            <w:r>
              <w:t>1</w:t>
            </w:r>
          </w:p>
        </w:tc>
        <w:tc>
          <w:tcPr>
            <w:tcW w:w="1116" w:type="pct"/>
            <w:vAlign w:val="center"/>
          </w:tcPr>
          <w:p w14:paraId="38DA5AE4">
            <w:pPr>
              <w:pStyle w:val="39"/>
            </w:pPr>
            <w:r>
              <w:t>0.95</w:t>
            </w:r>
          </w:p>
        </w:tc>
        <w:tc>
          <w:tcPr>
            <w:tcW w:w="1115" w:type="pct"/>
            <w:vAlign w:val="center"/>
          </w:tcPr>
          <w:p w14:paraId="2BDDB0C0">
            <w:pPr>
              <w:pStyle w:val="39"/>
            </w:pPr>
            <w:r>
              <w:t>0.9</w:t>
            </w:r>
          </w:p>
        </w:tc>
      </w:tr>
    </w:tbl>
    <w:p w14:paraId="21708561">
      <w:pPr>
        <w:pStyle w:val="3"/>
      </w:pPr>
      <w:r>
        <w:t xml:space="preserve">7 </w:t>
      </w:r>
      <w:r>
        <w:rPr>
          <w:rFonts w:hint="eastAsia"/>
        </w:rPr>
        <w:t>静力设计</w:t>
      </w:r>
    </w:p>
    <w:p w14:paraId="74B99175">
      <w:pPr>
        <w:pStyle w:val="4"/>
        <w:spacing w:before="156"/>
      </w:pPr>
      <w:r>
        <w:t xml:space="preserve">7.1 </w:t>
      </w:r>
      <w:r>
        <w:rPr>
          <w:rFonts w:hint="eastAsia"/>
        </w:rPr>
        <w:t>一般规定</w:t>
      </w:r>
    </w:p>
    <w:p w14:paraId="7CD8FC66">
      <w:pPr>
        <w:overflowPunct w:val="0"/>
        <w:topLinePunct/>
        <w:spacing w:before="156" w:after="156" w:afterLines="50" w:line="312" w:lineRule="auto"/>
        <w:ind w:firstLine="482"/>
        <w:rPr>
          <w:rFonts w:cs="Times New Roman"/>
          <w:szCs w:val="24"/>
        </w:rPr>
      </w:pPr>
      <w:r>
        <w:rPr>
          <w:rFonts w:cs="Times New Roman"/>
          <w:b/>
          <w:szCs w:val="24"/>
        </w:rPr>
        <w:t>7.1.1</w:t>
      </w:r>
      <w:r>
        <w:rPr>
          <w:rFonts w:cs="Times New Roman"/>
          <w:szCs w:val="24"/>
        </w:rPr>
        <w:t>　锻锤基础宜采用钢筋混凝土结构。基础结构形式应根据工艺要求选用地坑式或大块式基础。</w:t>
      </w:r>
    </w:p>
    <w:p w14:paraId="2B57CCA4">
      <w:pPr>
        <w:overflowPunct w:val="0"/>
        <w:topLinePunct/>
        <w:spacing w:before="156" w:after="156" w:afterLines="50" w:line="312" w:lineRule="auto"/>
        <w:ind w:firstLine="482"/>
        <w:rPr>
          <w:rFonts w:cs="Times New Roman"/>
          <w:szCs w:val="24"/>
        </w:rPr>
      </w:pPr>
      <w:r>
        <w:rPr>
          <w:rFonts w:cs="Times New Roman"/>
          <w:b/>
          <w:szCs w:val="24"/>
        </w:rPr>
        <w:t>7.1.2</w:t>
      </w:r>
      <w:r>
        <w:rPr>
          <w:rFonts w:cs="Times New Roman"/>
          <w:szCs w:val="24"/>
        </w:rPr>
        <w:t>　</w:t>
      </w:r>
      <w:r>
        <w:rPr>
          <w:rFonts w:hint="eastAsia" w:cs="Times New Roman"/>
          <w:szCs w:val="24"/>
        </w:rPr>
        <w:t>根据国家标准《动力机器基础设计标准》GB</w:t>
      </w:r>
      <w:r>
        <w:rPr>
          <w:rFonts w:cs="Times New Roman"/>
          <w:szCs w:val="24"/>
        </w:rPr>
        <w:t>50040-2020</w:t>
      </w:r>
      <w:r>
        <w:rPr>
          <w:rFonts w:hint="eastAsia" w:cs="Times New Roman"/>
          <w:szCs w:val="24"/>
        </w:rPr>
        <w:t>第3</w:t>
      </w:r>
      <w:r>
        <w:rPr>
          <w:rFonts w:cs="Times New Roman"/>
          <w:szCs w:val="24"/>
        </w:rPr>
        <w:t>.3.5</w:t>
      </w:r>
      <w:r>
        <w:rPr>
          <w:rFonts w:hint="eastAsia" w:cs="Times New Roman"/>
          <w:szCs w:val="24"/>
        </w:rPr>
        <w:t>条中地基土类别的规定，当轻型及以上的</w:t>
      </w:r>
      <w:r>
        <w:rPr>
          <w:rFonts w:cs="Times New Roman"/>
          <w:szCs w:val="24"/>
        </w:rPr>
        <w:t>锻锤</w:t>
      </w:r>
      <w:r>
        <w:rPr>
          <w:rFonts w:hint="eastAsia" w:cs="Times New Roman"/>
          <w:szCs w:val="24"/>
        </w:rPr>
        <w:t>基础</w:t>
      </w:r>
      <w:r>
        <w:rPr>
          <w:rFonts w:cs="Times New Roman"/>
          <w:szCs w:val="24"/>
        </w:rPr>
        <w:t>采用天然地基时，不宜直接设置在四类土层上。</w:t>
      </w:r>
      <w:r>
        <w:rPr>
          <w:rFonts w:hint="eastAsia" w:cs="Times New Roman"/>
          <w:szCs w:val="24"/>
        </w:rPr>
        <w:t>受条件限制，锻锤基础落于四类土层上时，应采用人工地基。</w:t>
      </w:r>
    </w:p>
    <w:p w14:paraId="66F494F6">
      <w:pPr>
        <w:overflowPunct w:val="0"/>
        <w:topLinePunct/>
        <w:spacing w:before="156"/>
        <w:ind w:firstLine="482"/>
        <w:rPr>
          <w:rFonts w:cs="Times New Roman"/>
          <w:szCs w:val="24"/>
        </w:rPr>
      </w:pPr>
      <w:r>
        <w:rPr>
          <w:rFonts w:cs="Times New Roman"/>
          <w:b/>
          <w:szCs w:val="24"/>
        </w:rPr>
        <w:t>7.1.</w:t>
      </w:r>
      <w:r>
        <w:rPr>
          <w:rFonts w:hint="eastAsia" w:cs="Times New Roman"/>
          <w:b/>
          <w:szCs w:val="24"/>
        </w:rPr>
        <w:t>3</w:t>
      </w:r>
      <w:r>
        <w:rPr>
          <w:rFonts w:cs="Times New Roman"/>
          <w:szCs w:val="24"/>
        </w:rPr>
        <w:t>　特殊地质条件下当建筑物基础应进行地基稳定性计算时，锻锤基础</w:t>
      </w:r>
      <w:r>
        <w:rPr>
          <w:rFonts w:hint="eastAsia" w:cs="Times New Roman"/>
          <w:szCs w:val="24"/>
        </w:rPr>
        <w:t>应满足地基稳定性的要求。</w:t>
      </w:r>
    </w:p>
    <w:p w14:paraId="02FFD1A6">
      <w:pPr>
        <w:overflowPunct w:val="0"/>
        <w:topLinePunct/>
        <w:spacing w:before="156" w:after="156" w:afterLines="50" w:line="312" w:lineRule="auto"/>
        <w:ind w:firstLine="482"/>
        <w:rPr>
          <w:rFonts w:cs="Times New Roman"/>
          <w:szCs w:val="24"/>
        </w:rPr>
      </w:pPr>
      <w:r>
        <w:rPr>
          <w:rFonts w:cs="Times New Roman"/>
          <w:b/>
          <w:szCs w:val="24"/>
        </w:rPr>
        <w:t>7.1.</w:t>
      </w:r>
      <w:r>
        <w:rPr>
          <w:rFonts w:hint="eastAsia" w:cs="Times New Roman"/>
          <w:b/>
          <w:szCs w:val="24"/>
        </w:rPr>
        <w:t>4</w:t>
      </w:r>
      <w:r>
        <w:rPr>
          <w:rFonts w:cs="Times New Roman"/>
          <w:szCs w:val="24"/>
        </w:rPr>
        <w:t>　</w:t>
      </w:r>
      <w:r>
        <w:rPr>
          <w:rFonts w:hint="eastAsia" w:cs="Times New Roman"/>
          <w:szCs w:val="24"/>
        </w:rPr>
        <w:t>锻锤基础设计时，宜满足下列要求。</w:t>
      </w:r>
    </w:p>
    <w:p w14:paraId="425F3A4A">
      <w:pPr>
        <w:overflowPunct w:val="0"/>
        <w:topLinePunct/>
        <w:spacing w:before="156" w:after="156" w:afterLines="50" w:line="312" w:lineRule="auto"/>
        <w:ind w:firstLine="480"/>
        <w:rPr>
          <w:rFonts w:cs="Times New Roman"/>
          <w:szCs w:val="24"/>
        </w:rPr>
      </w:pPr>
      <w:r>
        <w:rPr>
          <w:rFonts w:hint="eastAsia" w:cs="Times New Roman"/>
          <w:szCs w:val="24"/>
        </w:rPr>
        <w:t>1</w:t>
      </w:r>
      <w:r>
        <w:rPr>
          <w:rFonts w:cs="Times New Roman"/>
          <w:szCs w:val="24"/>
        </w:rPr>
        <w:t xml:space="preserve"> </w:t>
      </w:r>
      <w:r>
        <w:rPr>
          <w:rFonts w:hint="eastAsia" w:cs="Times New Roman"/>
          <w:szCs w:val="24"/>
        </w:rPr>
        <w:t>对于自由锻基础，质量比宜满足下式要求：</w:t>
      </w:r>
    </w:p>
    <w:p w14:paraId="4FA2E64B">
      <w:pPr>
        <w:wordWrap w:val="0"/>
        <w:overflowPunct w:val="0"/>
        <w:topLinePunct/>
        <w:spacing w:before="156" w:after="156" w:afterLines="50" w:line="312" w:lineRule="auto"/>
        <w:ind w:firstLine="480"/>
        <w:jc w:val="right"/>
        <w:rPr>
          <w:rFonts w:cs="Times New Roman"/>
        </w:rPr>
      </w:pPr>
      <m:oMath>
        <m:f>
          <m:fPr>
            <m:ctrlPr>
              <w:rPr>
                <w:rFonts w:ascii="Cambria Math" w:hAnsi="Cambria Math"/>
              </w:rPr>
            </m:ctrlPr>
          </m:fPr>
          <m:num>
            <m:r>
              <m:rPr/>
              <w:rPr>
                <w:rFonts w:hint="eastAsia" w:ascii="Cambria Math" w:hAnsi="Cambria Math"/>
              </w:rPr>
              <m:t>m</m:t>
            </m:r>
            <m:ctrlPr>
              <w:rPr>
                <w:rFonts w:ascii="Cambria Math" w:hAnsi="Cambria Math"/>
              </w:rPr>
            </m:ctrlPr>
          </m:num>
          <m:den>
            <m:sSub>
              <m:sSubPr>
                <m:ctrlPr>
                  <w:rPr>
                    <w:rFonts w:ascii="Cambria Math" w:hAnsi="Cambria Math"/>
                  </w:rPr>
                </m:ctrlPr>
              </m:sSubPr>
              <m:e>
                <m:r>
                  <m:rPr/>
                  <w:rPr>
                    <w:rFonts w:ascii="Cambria Math" w:hAnsi="Cambria Math"/>
                  </w:rPr>
                  <m:t>m</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r>
          <m:rPr/>
          <w:rPr>
            <w:rFonts w:ascii="Cambria Math" w:hAnsi="Cambria Math"/>
          </w:rPr>
          <m:t>=30~40</m:t>
        </m:r>
      </m:oMath>
      <w:r>
        <w:rPr>
          <w:rFonts w:hint="eastAsia" w:cs="Times New Roman"/>
        </w:rPr>
        <w:t xml:space="preserve"> </w:t>
      </w:r>
      <w:r>
        <w:rPr>
          <w:rFonts w:cs="Times New Roman"/>
        </w:rPr>
        <w:t xml:space="preserve">                </w:t>
      </w:r>
      <w:r>
        <w:rPr>
          <w:rFonts w:hint="eastAsia" w:cs="Times New Roman"/>
        </w:rPr>
        <w:t>（7.1.4-1）</w:t>
      </w:r>
    </w:p>
    <w:p w14:paraId="542AD459">
      <w:pPr>
        <w:overflowPunct w:val="0"/>
        <w:topLinePunct/>
        <w:spacing w:before="156" w:after="156" w:afterLines="50" w:line="312" w:lineRule="auto"/>
        <w:ind w:firstLine="480"/>
      </w:pPr>
      <w:r>
        <w:rPr>
          <w:rFonts w:hint="eastAsia" w:cs="Times New Roman"/>
        </w:rPr>
        <w:t>2</w:t>
      </w:r>
      <w:r>
        <w:rPr>
          <w:rFonts w:cs="Times New Roman"/>
        </w:rPr>
        <w:t xml:space="preserve"> </w:t>
      </w:r>
      <w:r>
        <w:rPr>
          <w:rFonts w:hint="eastAsia" w:cs="Times New Roman"/>
        </w:rPr>
        <w:t>对于</w:t>
      </w:r>
      <w:r>
        <w:rPr>
          <w:rFonts w:hint="eastAsia"/>
        </w:rPr>
        <w:t>模锻基础，质量比宜满足下式要求：</w:t>
      </w:r>
    </w:p>
    <w:p w14:paraId="5691EA1B">
      <w:pPr>
        <w:overflowPunct w:val="0"/>
        <w:topLinePunct/>
        <w:spacing w:before="156" w:after="156" w:afterLines="50" w:line="312" w:lineRule="auto"/>
        <w:ind w:firstLine="480"/>
        <w:jc w:val="right"/>
        <w:rPr>
          <w:rFonts w:cs="Times New Roman"/>
          <w:szCs w:val="24"/>
        </w:rPr>
      </w:pPr>
      <m:oMath>
        <m:f>
          <m:fPr>
            <m:ctrlPr>
              <w:rPr>
                <w:rFonts w:ascii="Cambria Math" w:hAnsi="Cambria Math"/>
              </w:rPr>
            </m:ctrlPr>
          </m:fPr>
          <m:num>
            <m:r>
              <m:rPr/>
              <w:rPr>
                <w:rFonts w:hint="eastAsia" w:ascii="Cambria Math" w:hAnsi="Cambria Math"/>
              </w:rPr>
              <m:t>m</m:t>
            </m:r>
            <m:ctrlPr>
              <w:rPr>
                <w:rFonts w:ascii="Cambria Math" w:hAnsi="Cambria Math"/>
              </w:rPr>
            </m:ctrlPr>
          </m:num>
          <m:den>
            <m:sSub>
              <m:sSubPr>
                <m:ctrlPr>
                  <w:rPr>
                    <w:rFonts w:ascii="Cambria Math" w:hAnsi="Cambria Math"/>
                  </w:rPr>
                </m:ctrlPr>
              </m:sSubPr>
              <m:e>
                <m:r>
                  <m:rPr/>
                  <w:rPr>
                    <w:rFonts w:ascii="Cambria Math" w:hAnsi="Cambria Math"/>
                  </w:rPr>
                  <m:t>m</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r>
          <m:rPr/>
          <w:rPr>
            <w:rFonts w:ascii="Cambria Math" w:hAnsi="Cambria Math"/>
          </w:rPr>
          <m:t>=40~50</m:t>
        </m:r>
      </m:oMath>
      <w:r>
        <w:rPr>
          <w:rFonts w:hint="eastAsia" w:cs="Times New Roman"/>
        </w:rPr>
        <w:t xml:space="preserve"> </w:t>
      </w:r>
      <w:r>
        <w:rPr>
          <w:rFonts w:cs="Times New Roman"/>
        </w:rPr>
        <w:t xml:space="preserve">               </w:t>
      </w:r>
      <w:r>
        <w:rPr>
          <w:rFonts w:hint="eastAsia" w:cs="Times New Roman"/>
        </w:rPr>
        <w:t>（7.1.4-2）</w:t>
      </w:r>
    </w:p>
    <w:p w14:paraId="7B965ED6">
      <w:pPr>
        <w:overflowPunct w:val="0"/>
        <w:topLinePunct/>
        <w:spacing w:before="156" w:after="156" w:afterLines="50" w:line="312" w:lineRule="auto"/>
        <w:ind w:firstLine="480"/>
      </w:pPr>
      <w:r>
        <w:rPr>
          <w:rFonts w:hint="eastAsia"/>
        </w:rPr>
        <w:t>式中，</w:t>
      </w:r>
      <m:oMath>
        <m:r>
          <m:rPr/>
          <w:rPr>
            <w:rFonts w:hint="eastAsia" w:ascii="Cambria Math" w:hAnsi="Cambria Math"/>
          </w:rPr>
          <m:t>m</m:t>
        </m:r>
      </m:oMath>
      <w:r>
        <w:rPr>
          <w:rFonts w:hint="eastAsia"/>
        </w:rPr>
        <w:t>为</w:t>
      </w:r>
      <w:r>
        <w:t>锻锤基础的质量</w:t>
      </w:r>
      <w:r>
        <w:rPr>
          <w:rFonts w:hint="eastAsia"/>
        </w:rPr>
        <w:t>（t）;</w:t>
      </w:r>
    </w:p>
    <w:p w14:paraId="39062107">
      <w:pPr>
        <w:overflowPunct w:val="0"/>
        <w:topLinePunct/>
        <w:spacing w:before="156" w:after="156" w:afterLines="50" w:line="312" w:lineRule="auto"/>
        <w:ind w:left="840" w:firstLine="480"/>
      </w:pPr>
      <m:oMath>
        <m:sSub>
          <m:sSubPr>
            <m:ctrlPr>
              <w:rPr>
                <w:rFonts w:ascii="Cambria Math" w:hAnsi="Cambria Math"/>
              </w:rPr>
            </m:ctrlPr>
          </m:sSubPr>
          <m:e>
            <m:r>
              <m:rPr/>
              <w:rPr>
                <w:rFonts w:ascii="Cambria Math" w:hAnsi="Cambria Math"/>
              </w:rPr>
              <m:t>m</m:t>
            </m:r>
            <m:ctrlPr>
              <w:rPr>
                <w:rFonts w:ascii="Cambria Math" w:hAnsi="Cambria Math"/>
              </w:rPr>
            </m:ctrlPr>
          </m:e>
          <m:sub>
            <m:r>
              <m:rPr/>
              <w:rPr>
                <w:rFonts w:ascii="Cambria Math" w:hAnsi="Cambria Math"/>
              </w:rPr>
              <m:t>0</m:t>
            </m:r>
            <m:ctrlPr>
              <w:rPr>
                <w:rFonts w:ascii="Cambria Math" w:hAnsi="Cambria Math"/>
              </w:rPr>
            </m:ctrlPr>
          </m:sub>
        </m:sSub>
      </m:oMath>
      <w:r>
        <w:rPr>
          <w:rFonts w:hint="eastAsia"/>
        </w:rPr>
        <w:t>为锤头质量（t）。</w:t>
      </w:r>
    </w:p>
    <w:p w14:paraId="4CBCCA4E">
      <w:pPr>
        <w:spacing w:before="156"/>
        <w:ind w:firstLine="480"/>
        <w:rPr>
          <w:rFonts w:cs="Times New Roman"/>
          <w:szCs w:val="24"/>
        </w:rPr>
      </w:pPr>
      <w:r>
        <w:rPr>
          <w:rFonts w:hint="eastAsia" w:cs="Times New Roman"/>
          <w:szCs w:val="24"/>
        </w:rPr>
        <w:t>3</w:t>
      </w:r>
      <w:r>
        <w:rPr>
          <w:rFonts w:cs="Times New Roman"/>
          <w:szCs w:val="24"/>
        </w:rPr>
        <w:t xml:space="preserve"> 软弱地基</w:t>
      </w:r>
      <w:r>
        <w:rPr>
          <w:rFonts w:hint="eastAsia" w:cs="Times New Roman"/>
          <w:szCs w:val="24"/>
        </w:rPr>
        <w:t>质量比应取大值</w:t>
      </w:r>
      <w:r>
        <w:rPr>
          <w:rFonts w:cs="Times New Roman"/>
          <w:szCs w:val="24"/>
        </w:rPr>
        <w:t>。</w:t>
      </w:r>
    </w:p>
    <w:p w14:paraId="62528585">
      <w:pPr>
        <w:spacing w:before="156"/>
        <w:ind w:firstLine="480"/>
      </w:pPr>
      <w:r>
        <w:rPr>
          <w:rFonts w:hint="eastAsia" w:cs="Times New Roman"/>
          <w:szCs w:val="24"/>
        </w:rPr>
        <w:t>4</w:t>
      </w:r>
      <w:r>
        <w:rPr>
          <w:rFonts w:cs="Times New Roman"/>
          <w:szCs w:val="24"/>
        </w:rPr>
        <w:t xml:space="preserve"> </w:t>
      </w:r>
      <w:r>
        <w:t>在基础自重相同的条件下，宜增大基础的底面积、减小埋置深度。</w:t>
      </w:r>
    </w:p>
    <w:p w14:paraId="12D92645">
      <w:pPr>
        <w:overflowPunct w:val="0"/>
        <w:topLinePunct/>
        <w:spacing w:before="156" w:after="156" w:afterLines="50" w:line="312" w:lineRule="auto"/>
        <w:ind w:firstLine="482"/>
        <w:rPr>
          <w:rFonts w:cs="Times New Roman"/>
          <w:szCs w:val="24"/>
        </w:rPr>
      </w:pPr>
      <w:r>
        <w:rPr>
          <w:rFonts w:cs="Times New Roman"/>
          <w:b/>
          <w:szCs w:val="24"/>
        </w:rPr>
        <w:t>7.1.5</w:t>
      </w:r>
      <w:r>
        <w:rPr>
          <w:rFonts w:cs="Times New Roman"/>
          <w:szCs w:val="24"/>
        </w:rPr>
        <w:t>　锻锤基础开挖应根据土层地质条件确保施工安全、避免影响周围环境。</w:t>
      </w:r>
    </w:p>
    <w:p w14:paraId="30D8E294">
      <w:pPr>
        <w:spacing w:before="156" w:line="360" w:lineRule="auto"/>
        <w:ind w:firstLine="482"/>
        <w:rPr>
          <w:rFonts w:cs="Times New Roman"/>
          <w:szCs w:val="21"/>
        </w:rPr>
      </w:pPr>
      <w:r>
        <w:rPr>
          <w:rFonts w:cs="Times New Roman"/>
          <w:b/>
          <w:szCs w:val="24"/>
        </w:rPr>
        <w:t xml:space="preserve">7.1.6  </w:t>
      </w:r>
      <w:r>
        <w:rPr>
          <w:rFonts w:cs="Times New Roman"/>
          <w:szCs w:val="24"/>
        </w:rPr>
        <w:t>当置于天然地基的锻锤基础与毗邻建筑物基础的埋深不在同</w:t>
      </w:r>
      <w:r>
        <w:rPr>
          <w:rFonts w:hint="eastAsia" w:cs="Times New Roman"/>
          <w:szCs w:val="24"/>
        </w:rPr>
        <w:t>一</w:t>
      </w:r>
      <w:r>
        <w:rPr>
          <w:rFonts w:cs="Times New Roman"/>
          <w:szCs w:val="24"/>
        </w:rPr>
        <w:t>标高时，基底标高差异部分应回填夯实。</w:t>
      </w:r>
    </w:p>
    <w:p w14:paraId="58D63825">
      <w:pPr>
        <w:overflowPunct w:val="0"/>
        <w:topLinePunct/>
        <w:spacing w:before="156"/>
        <w:ind w:firstLine="482"/>
        <w:rPr>
          <w:rFonts w:cs="Times New Roman"/>
          <w:szCs w:val="24"/>
        </w:rPr>
      </w:pPr>
      <w:r>
        <w:rPr>
          <w:rFonts w:cs="Times New Roman"/>
          <w:b/>
          <w:szCs w:val="24"/>
        </w:rPr>
        <w:t>7.1.</w:t>
      </w:r>
      <w:r>
        <w:rPr>
          <w:rFonts w:hint="eastAsia" w:cs="Times New Roman"/>
          <w:b/>
          <w:szCs w:val="24"/>
        </w:rPr>
        <w:t>7</w:t>
      </w:r>
      <w:r>
        <w:rPr>
          <w:rFonts w:cs="Times New Roman"/>
          <w:szCs w:val="24"/>
        </w:rPr>
        <w:t>　地基基础设计尚应符合现行国家标准《建筑地基基础设计规范》GB 50007的有关规定。</w:t>
      </w:r>
    </w:p>
    <w:p w14:paraId="0E0E30B0">
      <w:pPr>
        <w:pStyle w:val="4"/>
        <w:spacing w:before="156"/>
      </w:pPr>
      <w:r>
        <w:t xml:space="preserve">7.2 </w:t>
      </w:r>
      <w:r>
        <w:rPr>
          <w:rFonts w:hint="eastAsia"/>
        </w:rPr>
        <w:t>地基承载力验算</w:t>
      </w:r>
    </w:p>
    <w:p w14:paraId="433C43AE">
      <w:pPr>
        <w:spacing w:before="156"/>
        <w:ind w:firstLine="480"/>
      </w:pPr>
      <w:r>
        <w:t>7.2.1  动力机器基础底面</w:t>
      </w:r>
      <w:r>
        <w:rPr>
          <w:rFonts w:hint="eastAsia"/>
        </w:rPr>
        <w:t>的</w:t>
      </w:r>
      <w:r>
        <w:t>地基平均静压力设计值，应符合下式要求：</w:t>
      </w:r>
    </w:p>
    <w:p w14:paraId="79FD4865">
      <w:pPr>
        <w:spacing w:before="156"/>
        <w:ind w:firstLine="480"/>
        <w:jc w:val="right"/>
        <w:rPr>
          <w:szCs w:val="21"/>
        </w:rPr>
      </w:pPr>
      <m:oMath>
        <w:bookmarkStart w:id="7" w:name="OLE_LINK2"/>
        <w:bookmarkStart w:id="8" w:name="OLE_LINK3"/>
        <m:r>
          <m:rPr/>
          <w:rPr>
            <w:rFonts w:ascii="Cambria Math" w:hAnsi="Cambria Math"/>
            <w:szCs w:val="21"/>
          </w:rPr>
          <m:t>p ≤</m:t>
        </m:r>
        <m:sSub>
          <m:sSubPr>
            <m:ctrlPr>
              <w:rPr>
                <w:rFonts w:ascii="Cambria Math" w:hAnsi="Cambria Math"/>
                <w:i/>
                <w:szCs w:val="21"/>
              </w:rPr>
            </m:ctrlPr>
          </m:sSubPr>
          <m:e>
            <m:r>
              <m:rPr/>
              <w:rPr>
                <w:rFonts w:ascii="Cambria Math" w:hAnsi="Cambria Math"/>
                <w:szCs w:val="21"/>
              </w:rPr>
              <m:t>α</m:t>
            </m:r>
            <m:ctrlPr>
              <w:rPr>
                <w:rFonts w:ascii="Cambria Math" w:hAnsi="Cambria Math"/>
                <w:i/>
                <w:szCs w:val="21"/>
              </w:rPr>
            </m:ctrlPr>
          </m:e>
          <m:sub>
            <m:r>
              <m:rPr>
                <m:sty m:val="p"/>
              </m:rPr>
              <w:rPr>
                <w:rFonts w:ascii="Cambria Math" w:hAnsi="Cambria Math"/>
                <w:szCs w:val="21"/>
              </w:rPr>
              <m:t>v</m:t>
            </m:r>
            <w:bookmarkEnd w:id="7"/>
            <w:bookmarkEnd w:id="8"/>
            <m:ctrlPr>
              <w:rPr>
                <w:rFonts w:ascii="Cambria Math" w:hAnsi="Cambria Math"/>
                <w:i/>
                <w:szCs w:val="21"/>
              </w:rPr>
            </m:ctrlPr>
          </m:sub>
        </m:sSub>
        <m:sSub>
          <m:sSubPr>
            <m:ctrlPr>
              <w:rPr>
                <w:rFonts w:ascii="Cambria Math" w:hAnsi="Cambria Math"/>
                <w:i/>
                <w:szCs w:val="21"/>
              </w:rPr>
            </m:ctrlPr>
          </m:sSubPr>
          <m:e>
            <m:r>
              <m:rPr/>
              <w:rPr>
                <w:rFonts w:ascii="Cambria Math" w:hAnsi="Cambria Math"/>
                <w:szCs w:val="21"/>
              </w:rPr>
              <m:t>f</m:t>
            </m:r>
            <m:ctrlPr>
              <w:rPr>
                <w:rFonts w:ascii="Cambria Math" w:hAnsi="Cambria Math"/>
                <w:i/>
                <w:szCs w:val="21"/>
              </w:rPr>
            </m:ctrlPr>
          </m:e>
          <m:sub>
            <m:r>
              <m:rPr>
                <m:sty m:val="p"/>
              </m:rPr>
              <w:rPr>
                <w:rFonts w:ascii="Cambria Math" w:hAnsi="Cambria Math"/>
                <w:szCs w:val="21"/>
              </w:rPr>
              <m:t>a</m:t>
            </m:r>
            <m:ctrlPr>
              <w:rPr>
                <w:rFonts w:ascii="Cambria Math" w:hAnsi="Cambria Math"/>
                <w:i/>
                <w:szCs w:val="21"/>
              </w:rPr>
            </m:ctrlPr>
          </m:sub>
        </m:sSub>
      </m:oMath>
      <w:r>
        <w:rPr>
          <w:szCs w:val="21"/>
        </w:rPr>
        <w:t xml:space="preserve">                                (7.2.1)</w:t>
      </w:r>
    </w:p>
    <w:p w14:paraId="04CF30E6">
      <w:pPr>
        <w:spacing w:before="156"/>
        <w:ind w:firstLine="480"/>
        <w:rPr>
          <w:szCs w:val="21"/>
        </w:rPr>
      </w:pPr>
      <w:r>
        <w:rPr>
          <w:szCs w:val="21"/>
        </w:rPr>
        <w:t>式中：</w:t>
      </w:r>
      <m:oMath>
        <m:r>
          <m:rPr/>
          <w:rPr>
            <w:rFonts w:ascii="Cambria Math" w:hAnsi="Cambria Math"/>
            <w:szCs w:val="21"/>
          </w:rPr>
          <m:t>p</m:t>
        </m:r>
      </m:oMath>
      <w:r>
        <w:rPr>
          <w:szCs w:val="21"/>
        </w:rPr>
        <w:t>——基础底面</w:t>
      </w:r>
      <w:r>
        <w:rPr>
          <w:rFonts w:hint="eastAsia"/>
          <w:szCs w:val="21"/>
        </w:rPr>
        <w:t>的</w:t>
      </w:r>
      <w:r>
        <w:rPr>
          <w:szCs w:val="21"/>
        </w:rPr>
        <w:t>地基平均静压力标准组合值(kPa)；</w:t>
      </w:r>
    </w:p>
    <w:p w14:paraId="1B9391BE">
      <w:pPr>
        <w:spacing w:before="156"/>
        <w:ind w:left="780" w:firstLine="480"/>
        <w:rPr>
          <w:szCs w:val="21"/>
        </w:rPr>
      </w:pPr>
      <m:oMath>
        <m:sSub>
          <m:sSubPr>
            <m:ctrlPr>
              <w:rPr>
                <w:rFonts w:ascii="Cambria Math" w:hAnsi="Cambria Math"/>
                <w:szCs w:val="21"/>
              </w:rPr>
            </m:ctrlPr>
          </m:sSubPr>
          <m:e>
            <m:r>
              <m:rPr/>
              <w:rPr>
                <w:rFonts w:ascii="Cambria Math" w:hAnsi="Cambria Math"/>
                <w:szCs w:val="21"/>
              </w:rPr>
              <m:t>α</m:t>
            </m:r>
            <m:ctrlPr>
              <w:rPr>
                <w:rFonts w:ascii="Cambria Math" w:hAnsi="Cambria Math"/>
                <w:szCs w:val="21"/>
              </w:rPr>
            </m:ctrlPr>
          </m:e>
          <m:sub>
            <m:r>
              <m:rPr>
                <m:sty m:val="p"/>
              </m:rPr>
              <w:rPr>
                <w:rFonts w:ascii="Cambria Math" w:hAnsi="Cambria Math"/>
                <w:szCs w:val="21"/>
              </w:rPr>
              <m:t>v</m:t>
            </m:r>
            <m:ctrlPr>
              <w:rPr>
                <w:rFonts w:ascii="Cambria Math" w:hAnsi="Cambria Math"/>
                <w:szCs w:val="21"/>
              </w:rPr>
            </m:ctrlPr>
          </m:sub>
        </m:sSub>
      </m:oMath>
      <w:r>
        <w:rPr>
          <w:szCs w:val="21"/>
        </w:rPr>
        <w:t>——地基承载力的动力折减系数；</w:t>
      </w:r>
    </w:p>
    <w:p w14:paraId="074AE39E">
      <w:pPr>
        <w:spacing w:before="156"/>
        <w:ind w:left="780" w:firstLine="480"/>
        <w:rPr>
          <w:szCs w:val="21"/>
        </w:rPr>
      </w:pPr>
      <m:oMath>
        <m:sSub>
          <m:sSubPr>
            <m:ctrlPr>
              <w:rPr>
                <w:rFonts w:ascii="Cambria Math" w:hAnsi="Cambria Math"/>
                <w:szCs w:val="21"/>
              </w:rPr>
            </m:ctrlPr>
          </m:sSubPr>
          <m:e>
            <m:r>
              <m:rPr/>
              <w:rPr>
                <w:rFonts w:ascii="Cambria Math" w:hAnsi="Cambria Math"/>
                <w:szCs w:val="21"/>
              </w:rPr>
              <m:t>f</m:t>
            </m:r>
            <m:ctrlPr>
              <w:rPr>
                <w:rFonts w:ascii="Cambria Math" w:hAnsi="Cambria Math"/>
                <w:szCs w:val="21"/>
              </w:rPr>
            </m:ctrlPr>
          </m:e>
          <m:sub>
            <m:r>
              <m:rPr/>
              <w:rPr>
                <w:rFonts w:ascii="Cambria Math" w:hAnsi="Cambria Math"/>
                <w:szCs w:val="21"/>
              </w:rPr>
              <m:t>a</m:t>
            </m:r>
            <m:ctrlPr>
              <w:rPr>
                <w:rFonts w:ascii="Cambria Math" w:hAnsi="Cambria Math"/>
                <w:szCs w:val="21"/>
              </w:rPr>
            </m:ctrlPr>
          </m:sub>
        </m:sSub>
      </m:oMath>
      <w:r>
        <w:rPr>
          <w:szCs w:val="21"/>
        </w:rPr>
        <w:t>——修正后的地基承载力特征值(kPa)。</w:t>
      </w:r>
    </w:p>
    <w:p w14:paraId="5F0AE3B6">
      <w:pPr>
        <w:spacing w:before="156"/>
        <w:ind w:firstLine="480"/>
      </w:pPr>
      <w:r>
        <w:t>7.2.2 基础底面静压力</w:t>
      </w:r>
      <w:r>
        <w:rPr>
          <w:rFonts w:hint="eastAsia"/>
        </w:rPr>
        <w:t>的计算</w:t>
      </w:r>
      <w:r>
        <w:t>，应</w:t>
      </w:r>
      <w:r>
        <w:rPr>
          <w:rFonts w:hint="eastAsia"/>
        </w:rPr>
        <w:t>包括</w:t>
      </w:r>
      <w:r>
        <w:t>下列荷载：</w:t>
      </w:r>
    </w:p>
    <w:p w14:paraId="3FCEA99D">
      <w:pPr>
        <w:spacing w:before="156"/>
        <w:ind w:left="240" w:leftChars="100" w:firstLine="480"/>
        <w:rPr>
          <w:szCs w:val="21"/>
        </w:rPr>
      </w:pPr>
      <w:r>
        <w:rPr>
          <w:szCs w:val="21"/>
        </w:rPr>
        <w:t>1  基础自重和基础上回填土重。</w:t>
      </w:r>
    </w:p>
    <w:p w14:paraId="764DC678">
      <w:pPr>
        <w:spacing w:before="156"/>
        <w:ind w:left="240" w:leftChars="100" w:firstLine="480"/>
        <w:rPr>
          <w:szCs w:val="21"/>
        </w:rPr>
      </w:pPr>
      <w:r>
        <w:rPr>
          <w:szCs w:val="21"/>
        </w:rPr>
        <w:t>2  机器自重和传至基础上的其</w:t>
      </w:r>
      <w:r>
        <w:rPr>
          <w:rFonts w:hint="eastAsia"/>
          <w:szCs w:val="21"/>
        </w:rPr>
        <w:t>它</w:t>
      </w:r>
      <w:r>
        <w:rPr>
          <w:szCs w:val="21"/>
        </w:rPr>
        <w:t>荷载。</w:t>
      </w:r>
    </w:p>
    <w:p w14:paraId="1A515A57">
      <w:pPr>
        <w:spacing w:before="156"/>
        <w:ind w:firstLine="480"/>
        <w:rPr>
          <w:szCs w:val="21"/>
        </w:rPr>
      </w:pPr>
      <w:r>
        <w:rPr>
          <w:szCs w:val="21"/>
        </w:rPr>
        <w:t>7.2.3  锻锤基础地基承载力的动力折减系数，可按下</w:t>
      </w:r>
      <w:r>
        <w:rPr>
          <w:rFonts w:hint="eastAsia"/>
          <w:szCs w:val="21"/>
        </w:rPr>
        <w:t>列公</w:t>
      </w:r>
      <w:r>
        <w:rPr>
          <w:szCs w:val="21"/>
        </w:rPr>
        <w:t>式计算：</w:t>
      </w:r>
    </w:p>
    <w:p w14:paraId="1278BD9B">
      <w:pPr>
        <w:spacing w:before="156"/>
        <w:ind w:left="240" w:leftChars="100" w:firstLine="480"/>
        <w:rPr>
          <w:szCs w:val="21"/>
        </w:rPr>
      </w:pPr>
      <w:r>
        <w:rPr>
          <w:szCs w:val="21"/>
        </w:rPr>
        <w:t xml:space="preserve">1  </w:t>
      </w:r>
      <w:r>
        <w:rPr>
          <w:rFonts w:hint="eastAsia"/>
          <w:szCs w:val="21"/>
        </w:rPr>
        <w:t>锻锤非隔振基础，应按下式计算：</w:t>
      </w:r>
    </w:p>
    <w:p w14:paraId="3E03894E">
      <w:pPr>
        <w:spacing w:before="156"/>
        <w:ind w:firstLine="480"/>
        <w:jc w:val="right"/>
        <w:rPr>
          <w:szCs w:val="21"/>
        </w:rPr>
      </w:pPr>
      <m:oMath>
        <m:sSub>
          <m:sSubPr>
            <m:ctrlPr>
              <w:rPr>
                <w:rFonts w:ascii="Cambria Math" w:hAnsi="Cambria Math"/>
                <w:szCs w:val="21"/>
              </w:rPr>
            </m:ctrlPr>
          </m:sSubPr>
          <m:e>
            <m:r>
              <m:rPr/>
              <w:rPr>
                <w:rFonts w:ascii="Cambria Math" w:hAnsi="Cambria Math"/>
                <w:szCs w:val="21"/>
              </w:rPr>
              <m:t>α</m:t>
            </m:r>
            <m:ctrlPr>
              <w:rPr>
                <w:rFonts w:ascii="Cambria Math" w:hAnsi="Cambria Math"/>
                <w:szCs w:val="21"/>
              </w:rPr>
            </m:ctrlPr>
          </m:e>
          <m:sub>
            <m:r>
              <m:rPr>
                <m:sty m:val="p"/>
              </m:rPr>
              <w:rPr>
                <w:rFonts w:ascii="Cambria Math" w:hAnsi="Cambria Math"/>
                <w:szCs w:val="21"/>
              </w:rPr>
              <m:t>v</m:t>
            </m:r>
            <m:ctrlPr>
              <w:rPr>
                <w:rFonts w:ascii="Cambria Math" w:hAnsi="Cambria Math"/>
                <w:szCs w:val="21"/>
              </w:rPr>
            </m:ctrlPr>
          </m:sub>
        </m:sSub>
        <m:r>
          <m:rPr>
            <m:sty m:val="p"/>
          </m:rPr>
          <w:rPr>
            <w:rFonts w:ascii="Cambria Math" w:hAnsi="Cambria Math"/>
            <w:szCs w:val="21"/>
          </w:rPr>
          <m:t>=</m:t>
        </m:r>
        <m:f>
          <m:fPr>
            <m:ctrlPr>
              <w:rPr>
                <w:rFonts w:ascii="Cambria Math" w:hAnsi="Cambria Math"/>
                <w:szCs w:val="21"/>
              </w:rPr>
            </m:ctrlPr>
          </m:fPr>
          <m:num>
            <m:r>
              <m:rPr/>
              <w:rPr>
                <w:rFonts w:ascii="Cambria Math" w:hAnsi="Cambria Math"/>
                <w:szCs w:val="21"/>
              </w:rPr>
              <m:t>1</m:t>
            </m:r>
            <m:ctrlPr>
              <w:rPr>
                <w:rFonts w:ascii="Cambria Math" w:hAnsi="Cambria Math"/>
                <w:szCs w:val="21"/>
              </w:rPr>
            </m:ctrlPr>
          </m:num>
          <m:den>
            <m:r>
              <m:rPr/>
              <w:rPr>
                <w:rFonts w:ascii="Cambria Math" w:hAnsi="Cambria Math"/>
                <w:szCs w:val="21"/>
              </w:rPr>
              <m:t>1+</m:t>
            </m:r>
            <m:sSub>
              <m:sSubPr>
                <m:ctrlPr>
                  <w:rPr>
                    <w:rFonts w:ascii="Cambria Math" w:hAnsi="Cambria Math"/>
                    <w:i/>
                    <w:szCs w:val="21"/>
                  </w:rPr>
                </m:ctrlPr>
              </m:sSubPr>
              <m:e>
                <m:r>
                  <m:rPr/>
                  <w:rPr>
                    <w:rFonts w:ascii="Cambria Math" w:hAnsi="Cambria Math"/>
                    <w:szCs w:val="21"/>
                  </w:rPr>
                  <m:t>β</m:t>
                </m:r>
                <m:ctrlPr>
                  <w:rPr>
                    <w:rFonts w:ascii="Cambria Math" w:hAnsi="Cambria Math"/>
                    <w:i/>
                    <w:szCs w:val="21"/>
                  </w:rPr>
                </m:ctrlPr>
              </m:e>
              <m:sub>
                <m:r>
                  <m:rPr>
                    <m:sty m:val="p"/>
                  </m:rPr>
                  <w:rPr>
                    <w:rFonts w:ascii="Cambria Math" w:hAnsi="Cambria Math"/>
                    <w:szCs w:val="21"/>
                  </w:rPr>
                  <m:t>v</m:t>
                </m:r>
                <m:ctrlPr>
                  <w:rPr>
                    <w:rFonts w:ascii="Cambria Math" w:hAnsi="Cambria Math"/>
                    <w:i/>
                    <w:szCs w:val="21"/>
                  </w:rPr>
                </m:ctrlPr>
              </m:sub>
            </m:sSub>
            <m:f>
              <m:fPr>
                <m:ctrlPr>
                  <w:rPr>
                    <w:rFonts w:ascii="Cambria Math" w:hAnsi="Cambria Math"/>
                    <w:i/>
                    <w:szCs w:val="21"/>
                  </w:rPr>
                </m:ctrlPr>
              </m:fPr>
              <m:num>
                <m:r>
                  <m:rPr/>
                  <w:rPr>
                    <w:rFonts w:ascii="Cambria Math" w:hAnsi="Cambria Math"/>
                    <w:szCs w:val="21"/>
                  </w:rPr>
                  <m:t>a</m:t>
                </m:r>
                <m:ctrlPr>
                  <w:rPr>
                    <w:rFonts w:ascii="Cambria Math" w:hAnsi="Cambria Math"/>
                    <w:i/>
                    <w:szCs w:val="21"/>
                  </w:rPr>
                </m:ctrlPr>
              </m:num>
              <m:den>
                <m:r>
                  <m:rPr/>
                  <w:rPr>
                    <w:rFonts w:ascii="Cambria Math" w:hAnsi="Cambria Math"/>
                    <w:szCs w:val="21"/>
                  </w:rPr>
                  <m:t>g</m:t>
                </m:r>
                <m:ctrlPr>
                  <w:rPr>
                    <w:rFonts w:ascii="Cambria Math" w:hAnsi="Cambria Math"/>
                    <w:i/>
                    <w:szCs w:val="21"/>
                  </w:rPr>
                </m:ctrlPr>
              </m:den>
            </m:f>
            <m:ctrlPr>
              <w:rPr>
                <w:rFonts w:ascii="Cambria Math" w:hAnsi="Cambria Math"/>
                <w:szCs w:val="21"/>
              </w:rPr>
            </m:ctrlPr>
          </m:den>
        </m:f>
      </m:oMath>
      <w:r>
        <w:rPr>
          <w:szCs w:val="21"/>
        </w:rPr>
        <w:t xml:space="preserve">                                (7.2.</w:t>
      </w:r>
      <w:r>
        <w:rPr>
          <w:rFonts w:hint="eastAsia"/>
          <w:szCs w:val="21"/>
        </w:rPr>
        <w:t>3</w:t>
      </w:r>
      <w:r>
        <w:rPr>
          <w:szCs w:val="21"/>
        </w:rPr>
        <w:t>)</w:t>
      </w:r>
    </w:p>
    <w:p w14:paraId="28B75D0A">
      <w:pPr>
        <w:spacing w:before="156"/>
        <w:ind w:firstLine="480"/>
        <w:rPr>
          <w:iCs/>
          <w:szCs w:val="21"/>
        </w:rPr>
      </w:pPr>
      <w:r>
        <w:rPr>
          <w:iCs/>
          <w:szCs w:val="21"/>
        </w:rPr>
        <w:t>式中：</w:t>
      </w:r>
      <m:oMath>
        <m:sSub>
          <m:sSubPr>
            <m:ctrlPr>
              <w:rPr>
                <w:rFonts w:ascii="Cambria Math" w:hAnsi="Cambria Math"/>
                <w:szCs w:val="21"/>
              </w:rPr>
            </m:ctrlPr>
          </m:sSubPr>
          <m:e>
            <m:r>
              <m:rPr/>
              <w:rPr>
                <w:rFonts w:ascii="Cambria Math" w:hAnsi="Cambria Math"/>
                <w:szCs w:val="21"/>
              </w:rPr>
              <m:t>α</m:t>
            </m:r>
            <m:ctrlPr>
              <w:rPr>
                <w:rFonts w:ascii="Cambria Math" w:hAnsi="Cambria Math"/>
                <w:szCs w:val="21"/>
              </w:rPr>
            </m:ctrlPr>
          </m:e>
          <m:sub>
            <m:r>
              <m:rPr>
                <m:sty m:val="p"/>
              </m:rPr>
              <w:rPr>
                <w:rFonts w:ascii="Cambria Math" w:hAnsi="Cambria Math"/>
                <w:szCs w:val="21"/>
              </w:rPr>
              <m:t>v</m:t>
            </m:r>
            <m:ctrlPr>
              <w:rPr>
                <w:rFonts w:ascii="Cambria Math" w:hAnsi="Cambria Math"/>
                <w:szCs w:val="21"/>
              </w:rPr>
            </m:ctrlPr>
          </m:sub>
        </m:sSub>
      </m:oMath>
      <w:r>
        <w:rPr>
          <w:iCs/>
          <w:szCs w:val="21"/>
        </w:rPr>
        <w:t>——基础的</w:t>
      </w:r>
      <w:r>
        <w:rPr>
          <w:rFonts w:hint="eastAsia"/>
          <w:iCs/>
          <w:szCs w:val="21"/>
        </w:rPr>
        <w:t>竖向</w:t>
      </w:r>
      <w:r>
        <w:rPr>
          <w:iCs/>
          <w:szCs w:val="21"/>
        </w:rPr>
        <w:t>振动加速度(m/s</w:t>
      </w:r>
      <w:r>
        <w:rPr>
          <w:iCs/>
          <w:szCs w:val="21"/>
          <w:vertAlign w:val="superscript"/>
        </w:rPr>
        <w:t>2</w:t>
      </w:r>
      <w:r>
        <w:rPr>
          <w:iCs/>
          <w:szCs w:val="21"/>
        </w:rPr>
        <w:t>)；</w:t>
      </w:r>
    </w:p>
    <w:p w14:paraId="1D790B19">
      <w:pPr>
        <w:spacing w:before="156"/>
        <w:ind w:left="780" w:firstLine="480"/>
        <w:rPr>
          <w:iCs/>
          <w:szCs w:val="21"/>
        </w:rPr>
      </w:pPr>
      <m:oMath>
        <m:sSub>
          <m:sSubPr>
            <m:ctrlPr>
              <w:rPr>
                <w:rFonts w:ascii="Cambria Math" w:hAnsi="Cambria Math"/>
                <w:i/>
                <w:szCs w:val="21"/>
              </w:rPr>
            </m:ctrlPr>
          </m:sSubPr>
          <m:e>
            <m:r>
              <m:rPr/>
              <w:rPr>
                <w:rFonts w:ascii="Cambria Math" w:hAnsi="Cambria Math"/>
                <w:szCs w:val="21"/>
              </w:rPr>
              <m:t>β</m:t>
            </m:r>
            <m:ctrlPr>
              <w:rPr>
                <w:rFonts w:ascii="Cambria Math" w:hAnsi="Cambria Math"/>
                <w:i/>
                <w:szCs w:val="21"/>
              </w:rPr>
            </m:ctrlPr>
          </m:e>
          <m:sub>
            <m:r>
              <m:rPr>
                <m:sty m:val="p"/>
              </m:rPr>
              <w:rPr>
                <w:rFonts w:ascii="Cambria Math" w:hAnsi="Cambria Math"/>
                <w:szCs w:val="21"/>
              </w:rPr>
              <m:t>v</m:t>
            </m:r>
            <m:ctrlPr>
              <w:rPr>
                <w:rFonts w:ascii="Cambria Math" w:hAnsi="Cambria Math"/>
                <w:i/>
                <w:szCs w:val="21"/>
              </w:rPr>
            </m:ctrlPr>
          </m:sub>
        </m:sSub>
      </m:oMath>
      <w:r>
        <w:rPr>
          <w:iCs/>
          <w:szCs w:val="21"/>
        </w:rPr>
        <w:t>——地基土的动沉陷影响系数</w:t>
      </w:r>
      <w:r>
        <w:rPr>
          <w:rFonts w:hint="eastAsia"/>
          <w:iCs/>
          <w:szCs w:val="21"/>
        </w:rPr>
        <w:t>，</w:t>
      </w:r>
      <w:r>
        <w:rPr>
          <w:iCs/>
          <w:szCs w:val="21"/>
        </w:rPr>
        <w:t>按</w:t>
      </w:r>
      <w:r>
        <w:rPr>
          <w:rFonts w:hint="eastAsia"/>
          <w:iCs/>
          <w:szCs w:val="21"/>
        </w:rPr>
        <w:t>第7.2.</w:t>
      </w:r>
      <w:r>
        <w:rPr>
          <w:iCs/>
          <w:szCs w:val="21"/>
        </w:rPr>
        <w:t>4条</w:t>
      </w:r>
      <w:r>
        <w:rPr>
          <w:rFonts w:hint="eastAsia"/>
          <w:iCs/>
          <w:szCs w:val="21"/>
        </w:rPr>
        <w:t>的</w:t>
      </w:r>
      <w:r>
        <w:rPr>
          <w:iCs/>
          <w:szCs w:val="21"/>
        </w:rPr>
        <w:t>规定确定。</w:t>
      </w:r>
    </w:p>
    <w:p w14:paraId="2E5CCD07">
      <w:pPr>
        <w:spacing w:before="156"/>
        <w:ind w:left="780" w:firstLine="480"/>
        <w:rPr>
          <w:iCs/>
          <w:szCs w:val="21"/>
        </w:rPr>
      </w:pPr>
      <m:oMath>
        <m:r>
          <m:rPr/>
          <w:rPr>
            <w:rFonts w:hint="eastAsia" w:ascii="Cambria Math" w:hAnsi="Cambria Math"/>
            <w:szCs w:val="21"/>
          </w:rPr>
          <m:t>g</m:t>
        </m:r>
      </m:oMath>
      <w:r>
        <w:rPr>
          <w:iCs/>
          <w:szCs w:val="21"/>
        </w:rPr>
        <w:t>——</w:t>
      </w:r>
      <w:r>
        <w:rPr>
          <w:rFonts w:hint="eastAsia"/>
          <w:iCs/>
          <w:szCs w:val="21"/>
        </w:rPr>
        <w:t>重力加速度，可取</w:t>
      </w:r>
      <m:oMath>
        <m:r>
          <m:rPr>
            <m:sty m:val="p"/>
          </m:rPr>
          <w:rPr>
            <w:rFonts w:hint="eastAsia" w:ascii="Cambria Math" w:hAnsi="Cambria Math"/>
            <w:szCs w:val="21"/>
          </w:rPr>
          <m:t>9.8m/</m:t>
        </m:r>
        <m:sSup>
          <m:sSupPr>
            <m:ctrlPr>
              <w:rPr>
                <w:rFonts w:ascii="Cambria Math" w:hAnsi="Cambria Math"/>
                <w:iCs/>
                <w:szCs w:val="21"/>
              </w:rPr>
            </m:ctrlPr>
          </m:sSupPr>
          <m:e>
            <m:r>
              <m:rPr>
                <m:sty m:val="p"/>
              </m:rPr>
              <w:rPr>
                <w:rFonts w:hint="eastAsia" w:ascii="Cambria Math" w:hAnsi="Cambria Math"/>
                <w:szCs w:val="21"/>
              </w:rPr>
              <m:t>s</m:t>
            </m:r>
            <m:ctrlPr>
              <w:rPr>
                <w:rFonts w:ascii="Cambria Math" w:hAnsi="Cambria Math"/>
                <w:iCs/>
                <w:szCs w:val="21"/>
              </w:rPr>
            </m:ctrlPr>
          </m:e>
          <m:sup>
            <m:r>
              <m:rPr/>
              <w:rPr>
                <w:rFonts w:hint="eastAsia" w:ascii="Cambria Math" w:hAnsi="Cambria Math"/>
                <w:szCs w:val="21"/>
              </w:rPr>
              <m:t>2</m:t>
            </m:r>
            <m:ctrlPr>
              <w:rPr>
                <w:rFonts w:ascii="Cambria Math" w:hAnsi="Cambria Math"/>
                <w:iCs/>
                <w:szCs w:val="21"/>
              </w:rPr>
            </m:ctrlPr>
          </m:sup>
        </m:sSup>
      </m:oMath>
      <w:r>
        <w:rPr>
          <w:iCs/>
          <w:szCs w:val="21"/>
        </w:rPr>
        <w:t>。</w:t>
      </w:r>
    </w:p>
    <w:p w14:paraId="0CC7E034">
      <w:pPr>
        <w:spacing w:before="156"/>
        <w:ind w:left="240" w:leftChars="100" w:firstLine="480"/>
        <w:rPr>
          <w:szCs w:val="21"/>
        </w:rPr>
      </w:pPr>
      <w:r>
        <w:rPr>
          <w:szCs w:val="21"/>
        </w:rPr>
        <w:t xml:space="preserve">2  </w:t>
      </w:r>
      <w:r>
        <w:rPr>
          <w:rFonts w:hint="eastAsia"/>
          <w:szCs w:val="21"/>
        </w:rPr>
        <w:t>锻锤隔振基础</w:t>
      </w:r>
      <w:r>
        <w:rPr>
          <w:szCs w:val="21"/>
        </w:rPr>
        <w:t>地基承载力的动力折减系数</w:t>
      </w:r>
      <w:r>
        <w:rPr>
          <w:rFonts w:hint="eastAsia"/>
          <w:szCs w:val="21"/>
        </w:rPr>
        <w:t>可取0</w:t>
      </w:r>
      <w:r>
        <w:rPr>
          <w:szCs w:val="21"/>
        </w:rPr>
        <w:t>.9</w:t>
      </w:r>
      <w:r>
        <w:rPr>
          <w:rFonts w:hint="eastAsia"/>
          <w:szCs w:val="21"/>
        </w:rPr>
        <w:t>。</w:t>
      </w:r>
    </w:p>
    <w:p w14:paraId="17D9E4FE">
      <w:pPr>
        <w:spacing w:before="156"/>
        <w:ind w:firstLine="480"/>
      </w:pPr>
      <w:r>
        <w:t>7.2.4  地基土的动沉陷影响系数</w:t>
      </w:r>
      <m:oMath>
        <m:sSub>
          <m:sSubPr>
            <m:ctrlPr>
              <w:rPr>
                <w:rFonts w:ascii="Cambria Math" w:hAnsi="Cambria Math"/>
              </w:rPr>
            </m:ctrlPr>
          </m:sSubPr>
          <m:e>
            <m:r>
              <m:rPr/>
              <w:rPr>
                <w:rFonts w:ascii="Cambria Math" w:hAnsi="Cambria Math"/>
              </w:rPr>
              <m:t>β</m:t>
            </m:r>
            <m:ctrlPr>
              <w:rPr>
                <w:rFonts w:ascii="Cambria Math" w:hAnsi="Cambria Math"/>
              </w:rPr>
            </m:ctrlPr>
          </m:e>
          <m:sub>
            <m:r>
              <m:rPr/>
              <w:rPr>
                <w:rFonts w:ascii="Cambria Math" w:hAnsi="Cambria Math"/>
              </w:rPr>
              <m:t>v</m:t>
            </m:r>
            <m:ctrlPr>
              <w:rPr>
                <w:rFonts w:ascii="Cambria Math" w:hAnsi="Cambria Math"/>
              </w:rPr>
            </m:ctrlPr>
          </m:sub>
        </m:sSub>
      </m:oMath>
      <w:r>
        <w:t>值，可按下列规定</w:t>
      </w:r>
      <w:r>
        <w:rPr>
          <w:rFonts w:hint="eastAsia"/>
        </w:rPr>
        <w:t>确定</w:t>
      </w:r>
      <w:r>
        <w:t>：</w:t>
      </w:r>
    </w:p>
    <w:p w14:paraId="1D32B0B4">
      <w:pPr>
        <w:spacing w:before="156"/>
        <w:ind w:firstLine="480"/>
        <w:rPr>
          <w:szCs w:val="21"/>
        </w:rPr>
      </w:pPr>
      <w:r>
        <w:rPr>
          <w:szCs w:val="21"/>
        </w:rPr>
        <w:t>当为天然地基时，可按表7.2.4的规定</w:t>
      </w:r>
      <w:r>
        <w:rPr>
          <w:rFonts w:hint="eastAsia"/>
          <w:szCs w:val="21"/>
        </w:rPr>
        <w:t>确定</w:t>
      </w:r>
      <w:r>
        <w:rPr>
          <w:szCs w:val="21"/>
        </w:rPr>
        <w:t>：</w:t>
      </w:r>
    </w:p>
    <w:p w14:paraId="1E28799A">
      <w:pPr>
        <w:pStyle w:val="39"/>
      </w:pPr>
      <w:r>
        <w:t>表7.2.4  地基土动沉陷影响系数</w:t>
      </w:r>
      <m:oMath>
        <m:sSub>
          <m:sSubPr>
            <m:ctrlPr>
              <w:rPr>
                <w:szCs w:val="22"/>
              </w:rPr>
            </m:ctrlPr>
          </m:sSubPr>
          <m:e>
            <m:r>
              <m:rPr/>
              <m:t>β</m:t>
            </m:r>
            <m:ctrlPr>
              <w:rPr>
                <w:szCs w:val="22"/>
              </w:rPr>
            </m:ctrlPr>
          </m:e>
          <m:sub>
            <m:r>
              <m:rPr/>
              <m:t>v</m:t>
            </m:r>
            <m:ctrlPr>
              <w:rPr>
                <w:szCs w:val="22"/>
              </w:rPr>
            </m:ctrlPr>
          </m:sub>
        </m:sSub>
      </m:oMath>
      <w:r>
        <w:t>值</w:t>
      </w:r>
    </w:p>
    <w:tbl>
      <w:tblPr>
        <w:tblStyle w:val="3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14:paraId="2D7D1E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48" w:type="dxa"/>
          </w:tcPr>
          <w:p w14:paraId="11CDCD6F">
            <w:pPr>
              <w:pStyle w:val="39"/>
            </w:pPr>
            <w:r>
              <w:t>地基土类别</w:t>
            </w:r>
          </w:p>
        </w:tc>
        <w:tc>
          <w:tcPr>
            <w:tcW w:w="4148" w:type="dxa"/>
          </w:tcPr>
          <w:p w14:paraId="1F4ECF8D">
            <w:pPr>
              <w:pStyle w:val="39"/>
              <w:rPr>
                <w:szCs w:val="21"/>
              </w:rPr>
            </w:pPr>
            <m:oMathPara>
              <m:oMath>
                <m:sSub>
                  <m:sSubPr>
                    <m:ctrlPr>
                      <w:rPr>
                        <w:szCs w:val="22"/>
                      </w:rPr>
                    </m:ctrlPr>
                  </m:sSubPr>
                  <m:e>
                    <m:r>
                      <m:rPr/>
                      <m:t>β</m:t>
                    </m:r>
                    <m:ctrlPr>
                      <w:rPr>
                        <w:szCs w:val="22"/>
                      </w:rPr>
                    </m:ctrlPr>
                  </m:e>
                  <m:sub>
                    <m:r>
                      <m:rPr/>
                      <m:t>v</m:t>
                    </m:r>
                    <m:ctrlPr>
                      <w:rPr>
                        <w:szCs w:val="22"/>
                      </w:rPr>
                    </m:ctrlPr>
                  </m:sub>
                </m:sSub>
              </m:oMath>
            </m:oMathPara>
          </w:p>
        </w:tc>
      </w:tr>
      <w:tr w14:paraId="1F4808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48" w:type="dxa"/>
          </w:tcPr>
          <w:p w14:paraId="341567BD">
            <w:pPr>
              <w:pStyle w:val="39"/>
            </w:pPr>
            <w:r>
              <w:t>一类土</w:t>
            </w:r>
          </w:p>
        </w:tc>
        <w:tc>
          <w:tcPr>
            <w:tcW w:w="4148" w:type="dxa"/>
          </w:tcPr>
          <w:p w14:paraId="34398FA2">
            <w:pPr>
              <w:pStyle w:val="39"/>
            </w:pPr>
            <w:r>
              <w:t>1.0</w:t>
            </w:r>
          </w:p>
        </w:tc>
      </w:tr>
      <w:tr w14:paraId="675528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48" w:type="dxa"/>
          </w:tcPr>
          <w:p w14:paraId="298491DB">
            <w:pPr>
              <w:pStyle w:val="39"/>
            </w:pPr>
            <w:r>
              <w:t>二类土</w:t>
            </w:r>
          </w:p>
        </w:tc>
        <w:tc>
          <w:tcPr>
            <w:tcW w:w="4148" w:type="dxa"/>
          </w:tcPr>
          <w:p w14:paraId="5DDC4BCF">
            <w:pPr>
              <w:pStyle w:val="39"/>
            </w:pPr>
            <w:r>
              <w:t>1.3</w:t>
            </w:r>
          </w:p>
        </w:tc>
      </w:tr>
      <w:tr w14:paraId="5EFC2D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48" w:type="dxa"/>
          </w:tcPr>
          <w:p w14:paraId="48FDC554">
            <w:pPr>
              <w:pStyle w:val="39"/>
            </w:pPr>
            <w:r>
              <w:t>三类土</w:t>
            </w:r>
          </w:p>
        </w:tc>
        <w:tc>
          <w:tcPr>
            <w:tcW w:w="4148" w:type="dxa"/>
          </w:tcPr>
          <w:p w14:paraId="4A880387">
            <w:pPr>
              <w:pStyle w:val="39"/>
            </w:pPr>
            <w:r>
              <w:t>2.0</w:t>
            </w:r>
          </w:p>
        </w:tc>
      </w:tr>
      <w:tr w14:paraId="53016C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48" w:type="dxa"/>
          </w:tcPr>
          <w:p w14:paraId="0B7CCB28">
            <w:pPr>
              <w:pStyle w:val="39"/>
            </w:pPr>
            <w:r>
              <w:t>四类土</w:t>
            </w:r>
          </w:p>
        </w:tc>
        <w:tc>
          <w:tcPr>
            <w:tcW w:w="4148" w:type="dxa"/>
          </w:tcPr>
          <w:p w14:paraId="4D8A7042">
            <w:pPr>
              <w:pStyle w:val="39"/>
            </w:pPr>
            <w:r>
              <w:t>3.0</w:t>
            </w:r>
          </w:p>
        </w:tc>
      </w:tr>
    </w:tbl>
    <w:p w14:paraId="66D37456">
      <w:pPr>
        <w:spacing w:before="156"/>
        <w:ind w:firstLine="480"/>
      </w:pPr>
      <w:r>
        <w:t>2  对桩基础，宜按桩端持力层地基土类别选用。</w:t>
      </w:r>
    </w:p>
    <w:p w14:paraId="5922E547">
      <w:pPr>
        <w:spacing w:before="156"/>
        <w:ind w:firstLine="480"/>
      </w:pPr>
      <w:r>
        <w:t xml:space="preserve">3  </w:t>
      </w:r>
      <w:r>
        <w:rPr>
          <w:rFonts w:hint="eastAsia"/>
        </w:rPr>
        <w:t>地基</w:t>
      </w:r>
      <w:r>
        <w:t>土类别按现行《动力机器基础设计标准》的规定确定。</w:t>
      </w:r>
    </w:p>
    <w:p w14:paraId="002AD4D1">
      <w:pPr>
        <w:pStyle w:val="4"/>
        <w:spacing w:before="156"/>
      </w:pPr>
      <w:r>
        <w:t xml:space="preserve">7.3 </w:t>
      </w:r>
      <w:r>
        <w:rPr>
          <w:rFonts w:hint="eastAsia"/>
        </w:rPr>
        <w:t>基础承载力验算</w:t>
      </w:r>
    </w:p>
    <w:p w14:paraId="329D40A9">
      <w:pPr>
        <w:overflowPunct w:val="0"/>
        <w:topLinePunct/>
        <w:spacing w:before="156" w:line="312" w:lineRule="auto"/>
        <w:ind w:firstLine="482"/>
        <w:rPr>
          <w:rFonts w:cs="Times New Roman"/>
          <w:szCs w:val="24"/>
        </w:rPr>
      </w:pPr>
      <w:r>
        <w:rPr>
          <w:rFonts w:cs="Times New Roman"/>
          <w:b/>
          <w:szCs w:val="24"/>
        </w:rPr>
        <w:t>7.3.1</w:t>
      </w:r>
      <w:r>
        <w:rPr>
          <w:rFonts w:cs="Times New Roman"/>
          <w:szCs w:val="24"/>
        </w:rPr>
        <w:t>　锻锤基础的钢筋混凝土强度验算，应符合承载力极限状态的规定；对于变形、振动和裂缝宽度验算，应符合正常使用极限状态的规定。</w:t>
      </w:r>
    </w:p>
    <w:p w14:paraId="55C66A03">
      <w:pPr>
        <w:overflowPunct w:val="0"/>
        <w:topLinePunct/>
        <w:spacing w:before="156"/>
        <w:ind w:firstLine="482"/>
        <w:rPr>
          <w:rFonts w:cs="Times New Roman"/>
          <w:szCs w:val="24"/>
        </w:rPr>
      </w:pPr>
      <w:r>
        <w:rPr>
          <w:rFonts w:cs="Times New Roman"/>
          <w:b/>
          <w:szCs w:val="24"/>
        </w:rPr>
        <w:t>7.3.2</w:t>
      </w:r>
      <w:r>
        <w:rPr>
          <w:rFonts w:cs="Times New Roman"/>
          <w:szCs w:val="24"/>
        </w:rPr>
        <w:t>　基础底板应根据结构</w:t>
      </w:r>
      <w:r>
        <w:rPr>
          <w:rFonts w:hint="eastAsia" w:cs="Times New Roman"/>
          <w:szCs w:val="24"/>
        </w:rPr>
        <w:t>《混凝土结构设计规范》GB50010-2010的规定</w:t>
      </w:r>
      <w:r>
        <w:rPr>
          <w:rFonts w:cs="Times New Roman"/>
          <w:szCs w:val="24"/>
        </w:rPr>
        <w:t>计算</w:t>
      </w:r>
      <w:r>
        <w:rPr>
          <w:rFonts w:hint="eastAsia" w:cs="Times New Roman"/>
          <w:szCs w:val="24"/>
        </w:rPr>
        <w:t>板的</w:t>
      </w:r>
      <w:r>
        <w:rPr>
          <w:rFonts w:cs="Times New Roman"/>
          <w:szCs w:val="24"/>
        </w:rPr>
        <w:t>内力。结构配筋</w:t>
      </w:r>
      <w:r>
        <w:rPr>
          <w:rFonts w:hint="eastAsia" w:cs="Times New Roman"/>
          <w:szCs w:val="24"/>
        </w:rPr>
        <w:t>应</w:t>
      </w:r>
      <w:r>
        <w:rPr>
          <w:rFonts w:cs="Times New Roman"/>
          <w:szCs w:val="24"/>
        </w:rPr>
        <w:t>按受弯构件正截面承载力计算确定，</w:t>
      </w:r>
      <w:r>
        <w:rPr>
          <w:rFonts w:hint="eastAsia" w:cs="Times New Roman"/>
          <w:szCs w:val="24"/>
        </w:rPr>
        <w:t>并</w:t>
      </w:r>
      <w:r>
        <w:rPr>
          <w:rFonts w:cs="Times New Roman"/>
          <w:szCs w:val="24"/>
        </w:rPr>
        <w:t>满足配筋率的要求。</w:t>
      </w:r>
    </w:p>
    <w:p w14:paraId="37DDCE08">
      <w:pPr>
        <w:overflowPunct w:val="0"/>
        <w:topLinePunct/>
        <w:spacing w:before="156"/>
        <w:ind w:firstLine="482"/>
        <w:rPr>
          <w:rFonts w:cs="Times New Roman"/>
          <w:szCs w:val="24"/>
        </w:rPr>
      </w:pPr>
      <w:r>
        <w:rPr>
          <w:rFonts w:cs="Times New Roman"/>
          <w:b/>
          <w:szCs w:val="24"/>
        </w:rPr>
        <w:t>7.3.3</w:t>
      </w:r>
      <w:r>
        <w:rPr>
          <w:rFonts w:cs="Times New Roman"/>
          <w:szCs w:val="24"/>
        </w:rPr>
        <w:t>　</w:t>
      </w:r>
      <w:r>
        <w:rPr>
          <w:rFonts w:hint="eastAsia" w:cs="Times New Roman"/>
          <w:szCs w:val="24"/>
        </w:rPr>
        <w:t>对于坑式</w:t>
      </w:r>
      <w:r>
        <w:rPr>
          <w:rFonts w:cs="Times New Roman"/>
          <w:szCs w:val="24"/>
        </w:rPr>
        <w:t>基础</w:t>
      </w:r>
      <w:r>
        <w:rPr>
          <w:rFonts w:hint="eastAsia" w:cs="Times New Roman"/>
          <w:szCs w:val="24"/>
        </w:rPr>
        <w:t>，</w:t>
      </w:r>
      <w:r>
        <w:rPr>
          <w:rFonts w:cs="Times New Roman"/>
          <w:szCs w:val="24"/>
        </w:rPr>
        <w:t>侧壁内力计算应包含侧边土压力、水压力、地面堆载等荷载条件。地面堆载</w:t>
      </w:r>
      <m:oMath>
        <m:d>
          <m:dPr>
            <m:ctrlPr>
              <w:rPr>
                <w:rFonts w:ascii="Cambria Math" w:hAnsi="Cambria Math" w:eastAsia="楷体" w:cs="Times New Roman"/>
                <w:color w:val="002060"/>
                <w:szCs w:val="24"/>
              </w:rPr>
            </m:ctrlPr>
          </m:dPr>
          <m:e>
            <m:sSub>
              <m:sSubPr>
                <m:ctrlPr>
                  <w:rPr>
                    <w:rFonts w:ascii="Cambria Math" w:hAnsi="Cambria Math" w:eastAsia="楷体" w:cs="Times New Roman"/>
                    <w:color w:val="002060"/>
                    <w:szCs w:val="24"/>
                  </w:rPr>
                </m:ctrlPr>
              </m:sSubPr>
              <m:e>
                <m:r>
                  <m:rPr/>
                  <w:rPr>
                    <w:rFonts w:ascii="Cambria Math" w:hAnsi="Cambria Math" w:eastAsia="楷体" w:cs="Times New Roman"/>
                    <w:color w:val="002060"/>
                    <w:szCs w:val="24"/>
                  </w:rPr>
                  <m:t>q</m:t>
                </m:r>
                <m:ctrlPr>
                  <w:rPr>
                    <w:rFonts w:ascii="Cambria Math" w:hAnsi="Cambria Math" w:eastAsia="楷体" w:cs="Times New Roman"/>
                    <w:color w:val="002060"/>
                    <w:szCs w:val="24"/>
                  </w:rPr>
                </m:ctrlPr>
              </m:e>
              <m:sub>
                <m:r>
                  <m:rPr/>
                  <w:rPr>
                    <w:rFonts w:ascii="Cambria Math" w:hAnsi="Cambria Math" w:eastAsia="楷体" w:cs="Times New Roman"/>
                    <w:color w:val="002060"/>
                    <w:szCs w:val="24"/>
                  </w:rPr>
                  <m:t>xk</m:t>
                </m:r>
                <m:ctrlPr>
                  <w:rPr>
                    <w:rFonts w:ascii="Cambria Math" w:hAnsi="Cambria Math" w:eastAsia="楷体" w:cs="Times New Roman"/>
                    <w:color w:val="002060"/>
                    <w:szCs w:val="24"/>
                  </w:rPr>
                </m:ctrlPr>
              </m:sub>
            </m:sSub>
            <m:ctrlPr>
              <w:rPr>
                <w:rFonts w:ascii="Cambria Math" w:hAnsi="Cambria Math" w:eastAsia="楷体" w:cs="Times New Roman"/>
                <w:color w:val="002060"/>
                <w:szCs w:val="24"/>
              </w:rPr>
            </m:ctrlPr>
          </m:e>
        </m:d>
      </m:oMath>
      <w:r>
        <w:rPr>
          <w:rFonts w:cs="Times New Roman"/>
          <w:szCs w:val="24"/>
        </w:rPr>
        <w:t>应根据工艺或设计要求确定，且不</w:t>
      </w:r>
      <w:r>
        <w:rPr>
          <w:rFonts w:hint="eastAsia" w:cs="Times New Roman"/>
          <w:szCs w:val="24"/>
        </w:rPr>
        <w:t>应</w:t>
      </w:r>
      <w:r>
        <w:rPr>
          <w:rFonts w:cs="Times New Roman"/>
          <w:szCs w:val="24"/>
        </w:rPr>
        <w:t>小于10kPa。结构配筋计算应按下列两个阶段分别计算取大值，且应满足最小配筋率的要求。</w:t>
      </w:r>
    </w:p>
    <w:p w14:paraId="5335D3AF">
      <w:pPr>
        <w:overflowPunct w:val="0"/>
        <w:topLinePunct/>
        <w:spacing w:before="156"/>
        <w:ind w:firstLine="482"/>
        <w:rPr>
          <w:rFonts w:cs="Times New Roman"/>
          <w:szCs w:val="24"/>
        </w:rPr>
      </w:pPr>
      <w:r>
        <w:rPr>
          <w:rFonts w:cs="Times New Roman"/>
          <w:b/>
          <w:szCs w:val="24"/>
        </w:rPr>
        <w:t>1</w:t>
      </w:r>
      <w:r>
        <w:rPr>
          <w:rFonts w:cs="Times New Roman"/>
          <w:szCs w:val="24"/>
        </w:rPr>
        <w:t>　施工阶段配筋按受弯构件正截面承载力计算；</w:t>
      </w:r>
    </w:p>
    <w:p w14:paraId="5306C50D">
      <w:pPr>
        <w:overflowPunct w:val="0"/>
        <w:topLinePunct/>
        <w:spacing w:before="156"/>
        <w:ind w:firstLine="482"/>
        <w:rPr>
          <w:rFonts w:cs="Times New Roman"/>
          <w:szCs w:val="24"/>
        </w:rPr>
      </w:pPr>
      <w:r>
        <w:rPr>
          <w:rFonts w:cs="Times New Roman"/>
          <w:b/>
          <w:szCs w:val="24"/>
        </w:rPr>
        <w:t>2</w:t>
      </w:r>
      <w:r>
        <w:rPr>
          <w:rFonts w:cs="Times New Roman"/>
          <w:szCs w:val="24"/>
        </w:rPr>
        <w:t>　使用阶段配筋按偏心受压构件正截面承载力计算。</w:t>
      </w:r>
    </w:p>
    <w:p w14:paraId="45C273D1">
      <w:pPr>
        <w:overflowPunct w:val="0"/>
        <w:topLinePunct/>
        <w:spacing w:before="156"/>
        <w:ind w:firstLine="482"/>
        <w:rPr>
          <w:rFonts w:cs="Times New Roman"/>
          <w:szCs w:val="24"/>
        </w:rPr>
      </w:pPr>
      <w:r>
        <w:rPr>
          <w:rFonts w:cs="Times New Roman"/>
          <w:b/>
          <w:szCs w:val="24"/>
        </w:rPr>
        <w:t>7.3.4</w:t>
      </w:r>
      <w:r>
        <w:rPr>
          <w:rFonts w:cs="Times New Roman"/>
          <w:szCs w:val="24"/>
        </w:rPr>
        <w:t>　</w:t>
      </w:r>
      <w:r>
        <w:rPr>
          <w:rFonts w:hint="eastAsia" w:cs="Times New Roman"/>
          <w:szCs w:val="24"/>
        </w:rPr>
        <w:t>对于</w:t>
      </w:r>
      <w:r>
        <w:rPr>
          <w:rFonts w:cs="Times New Roman"/>
          <w:szCs w:val="24"/>
        </w:rPr>
        <w:t>坑式基础的底板可按钢筋混凝土板构件计算。基础底板</w:t>
      </w:r>
      <w:r>
        <w:rPr>
          <w:rFonts w:hint="eastAsia" w:cs="Times New Roman"/>
          <w:szCs w:val="24"/>
        </w:rPr>
        <w:t>应</w:t>
      </w:r>
      <w:r>
        <w:rPr>
          <w:rFonts w:cs="Times New Roman"/>
          <w:szCs w:val="24"/>
        </w:rPr>
        <w:t>以侧壁为支承，宜按四边支承的板计算，</w:t>
      </w:r>
      <w:r>
        <w:rPr>
          <w:rFonts w:hint="eastAsia" w:cs="Times New Roman"/>
          <w:szCs w:val="24"/>
        </w:rPr>
        <w:t>并</w:t>
      </w:r>
      <w:r>
        <w:rPr>
          <w:rFonts w:cs="Times New Roman"/>
          <w:szCs w:val="24"/>
        </w:rPr>
        <w:t>应符合下列规定：</w:t>
      </w:r>
    </w:p>
    <w:p w14:paraId="4FE1E893">
      <w:pPr>
        <w:overflowPunct w:val="0"/>
        <w:topLinePunct/>
        <w:spacing w:before="156" w:line="312" w:lineRule="auto"/>
        <w:ind w:firstLine="482"/>
        <w:rPr>
          <w:rFonts w:cs="Times New Roman"/>
          <w:szCs w:val="24"/>
        </w:rPr>
      </w:pPr>
      <w:r>
        <w:rPr>
          <w:rFonts w:cs="Times New Roman"/>
          <w:b/>
          <w:szCs w:val="24"/>
        </w:rPr>
        <w:t>1</w:t>
      </w:r>
      <w:r>
        <w:rPr>
          <w:rFonts w:cs="Times New Roman"/>
          <w:szCs w:val="24"/>
        </w:rPr>
        <w:t>　当长边与短边长度之比不大于2.0时，应按双向板计算；</w:t>
      </w:r>
    </w:p>
    <w:p w14:paraId="28A42C77">
      <w:pPr>
        <w:overflowPunct w:val="0"/>
        <w:topLinePunct/>
        <w:spacing w:before="156" w:line="312" w:lineRule="auto"/>
        <w:ind w:firstLine="482"/>
        <w:rPr>
          <w:rFonts w:cs="Times New Roman"/>
          <w:szCs w:val="24"/>
        </w:rPr>
      </w:pPr>
      <w:r>
        <w:rPr>
          <w:rFonts w:cs="Times New Roman"/>
          <w:b/>
          <w:szCs w:val="24"/>
        </w:rPr>
        <w:t>2</w:t>
      </w:r>
      <w:r>
        <w:rPr>
          <w:rFonts w:cs="Times New Roman"/>
          <w:szCs w:val="24"/>
        </w:rPr>
        <w:t>　当长边与短边长度之比大于2.0但小于3.0时，宜按双向板计算；</w:t>
      </w:r>
    </w:p>
    <w:p w14:paraId="3D4A9BA2">
      <w:pPr>
        <w:overflowPunct w:val="0"/>
        <w:topLinePunct/>
        <w:spacing w:before="156" w:line="312" w:lineRule="auto"/>
        <w:ind w:firstLine="482"/>
        <w:rPr>
          <w:rFonts w:cs="Times New Roman"/>
          <w:szCs w:val="24"/>
        </w:rPr>
      </w:pPr>
      <w:r>
        <w:rPr>
          <w:rFonts w:cs="Times New Roman"/>
          <w:b/>
          <w:szCs w:val="24"/>
        </w:rPr>
        <w:t>3</w:t>
      </w:r>
      <w:r>
        <w:rPr>
          <w:rFonts w:cs="Times New Roman"/>
          <w:szCs w:val="24"/>
        </w:rPr>
        <w:t>　当长边与短边长度之比不小于3.0时，宜按沿短边方向受力的单向板计算，沿长边方向布置构造钢筋。</w:t>
      </w:r>
    </w:p>
    <w:p w14:paraId="72417DD9">
      <w:pPr>
        <w:overflowPunct w:val="0"/>
        <w:topLinePunct/>
        <w:spacing w:before="156"/>
        <w:ind w:firstLine="482"/>
        <w:rPr>
          <w:rFonts w:cs="Times New Roman"/>
          <w:szCs w:val="24"/>
        </w:rPr>
      </w:pPr>
      <w:r>
        <w:rPr>
          <w:rFonts w:cs="Times New Roman"/>
          <w:b/>
          <w:szCs w:val="24"/>
        </w:rPr>
        <w:t>7.3.5</w:t>
      </w:r>
      <w:r>
        <w:rPr>
          <w:rFonts w:cs="Times New Roman"/>
          <w:szCs w:val="24"/>
        </w:rPr>
        <w:t>　锻锤基础在设备安装部位和地脚螺栓连接处，应进行局部受压承载力验算。</w:t>
      </w:r>
    </w:p>
    <w:p w14:paraId="2445E4BA">
      <w:pPr>
        <w:pStyle w:val="3"/>
      </w:pPr>
      <w:bookmarkStart w:id="9" w:name="_Toc206578587"/>
      <w:r>
        <w:t xml:space="preserve">8 </w:t>
      </w:r>
      <w:r>
        <w:rPr>
          <w:rFonts w:hint="eastAsia"/>
        </w:rPr>
        <w:t>刚性基础动力分析</w:t>
      </w:r>
      <w:bookmarkEnd w:id="9"/>
    </w:p>
    <w:p w14:paraId="28646F97">
      <w:pPr>
        <w:pStyle w:val="4"/>
        <w:spacing w:before="156"/>
      </w:pPr>
      <w:bookmarkStart w:id="10" w:name="_Toc206578588"/>
      <w:r>
        <w:t xml:space="preserve">8.1 </w:t>
      </w:r>
      <w:r>
        <w:rPr>
          <w:rFonts w:hint="eastAsia"/>
        </w:rPr>
        <w:t>一般规定</w:t>
      </w:r>
      <w:bookmarkEnd w:id="10"/>
    </w:p>
    <w:p w14:paraId="17D99661">
      <w:pPr>
        <w:spacing w:before="156"/>
        <w:ind w:firstLine="482"/>
        <w:rPr>
          <w:rFonts w:cs="Times New Roman"/>
          <w:szCs w:val="24"/>
        </w:rPr>
      </w:pPr>
      <w:r>
        <w:rPr>
          <w:rFonts w:hint="eastAsia" w:cs="Times New Roman"/>
          <w:b/>
          <w:szCs w:val="24"/>
        </w:rPr>
        <w:t>8</w:t>
      </w:r>
      <w:r>
        <w:rPr>
          <w:rFonts w:cs="Times New Roman"/>
          <w:b/>
          <w:szCs w:val="24"/>
        </w:rPr>
        <w:t>.1.1</w:t>
      </w:r>
      <w:r>
        <w:t xml:space="preserve"> </w:t>
      </w:r>
      <w:r>
        <w:rPr>
          <w:rFonts w:cs="Times New Roman"/>
          <w:b/>
          <w:szCs w:val="24"/>
        </w:rPr>
        <w:t xml:space="preserve"> </w:t>
      </w:r>
      <w:r>
        <w:rPr>
          <w:rFonts w:hint="eastAsia" w:cs="Times New Roman"/>
          <w:szCs w:val="24"/>
        </w:rPr>
        <w:t>对于轻型及以上的锻锤，在基础设计时，应根据本章的要求进行基组动力计算。</w:t>
      </w:r>
    </w:p>
    <w:p w14:paraId="28FB82F0">
      <w:pPr>
        <w:spacing w:before="156"/>
        <w:ind w:firstLine="482"/>
        <w:rPr>
          <w:rFonts w:cs="Times New Roman"/>
          <w:szCs w:val="24"/>
        </w:rPr>
      </w:pPr>
      <w:r>
        <w:rPr>
          <w:rFonts w:cs="Times New Roman"/>
          <w:b/>
          <w:szCs w:val="24"/>
        </w:rPr>
        <w:t>8.1.2</w:t>
      </w:r>
      <w:r>
        <w:rPr>
          <w:rFonts w:cs="Times New Roman"/>
          <w:szCs w:val="24"/>
        </w:rPr>
        <w:t>　基础</w:t>
      </w:r>
      <w:r>
        <w:rPr>
          <w:rFonts w:hint="eastAsia" w:cs="Times New Roman"/>
          <w:szCs w:val="24"/>
        </w:rPr>
        <w:t>振动</w:t>
      </w:r>
      <w:r>
        <w:rPr>
          <w:rFonts w:cs="Times New Roman"/>
          <w:szCs w:val="24"/>
        </w:rPr>
        <w:t>控制点的响应符合现行国家标准《建筑工程容许振动标准》GB50868的规定。</w:t>
      </w:r>
    </w:p>
    <w:p w14:paraId="49F96894">
      <w:pPr>
        <w:spacing w:before="156"/>
        <w:ind w:firstLine="482"/>
        <w:rPr>
          <w:rFonts w:cs="Times New Roman"/>
          <w:szCs w:val="24"/>
        </w:rPr>
      </w:pPr>
      <w:r>
        <w:rPr>
          <w:rFonts w:cs="Times New Roman"/>
          <w:b/>
          <w:szCs w:val="24"/>
        </w:rPr>
        <w:t>8.1.3</w:t>
      </w:r>
      <w:r>
        <w:rPr>
          <w:rFonts w:cs="Times New Roman"/>
          <w:szCs w:val="24"/>
        </w:rPr>
        <w:t>　</w:t>
      </w:r>
      <w:r>
        <w:rPr>
          <w:rFonts w:hint="eastAsia" w:cs="Times New Roman"/>
          <w:szCs w:val="24"/>
        </w:rPr>
        <w:t>锻锤基础动力分析时，基组竖向振动作用宜按图8.1.3简化建模。</w:t>
      </w:r>
    </w:p>
    <w:p w14:paraId="0BDED93A">
      <w:pPr>
        <w:pStyle w:val="39"/>
      </w:pPr>
      <w:r>
        <w:drawing>
          <wp:inline distT="0" distB="0" distL="0" distR="0">
            <wp:extent cx="4319905" cy="1831975"/>
            <wp:effectExtent l="0" t="0" r="4445"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320000" cy="1832400"/>
                    </a:xfrm>
                    <a:prstGeom prst="rect">
                      <a:avLst/>
                    </a:prstGeom>
                    <a:noFill/>
                  </pic:spPr>
                </pic:pic>
              </a:graphicData>
            </a:graphic>
          </wp:inline>
        </w:drawing>
      </w:r>
    </w:p>
    <w:p w14:paraId="7AB57DA6">
      <w:pPr>
        <w:pStyle w:val="39"/>
      </w:pPr>
      <w:r>
        <w:rPr>
          <w:rFonts w:hint="eastAsia"/>
        </w:rPr>
        <w:t>图8</w:t>
      </w:r>
      <w:r>
        <w:t>.1</w:t>
      </w:r>
      <w:r>
        <w:rPr>
          <w:rFonts w:hint="eastAsia"/>
        </w:rPr>
        <w:t>.3</w:t>
      </w:r>
      <w:r>
        <w:t xml:space="preserve"> </w:t>
      </w:r>
      <w:r>
        <w:rPr>
          <w:rFonts w:hint="eastAsia"/>
        </w:rPr>
        <w:t>锻锤基组模型</w:t>
      </w:r>
    </w:p>
    <w:p w14:paraId="660C78D4">
      <w:pPr>
        <w:pStyle w:val="4"/>
        <w:spacing w:before="156"/>
      </w:pPr>
      <w:r>
        <w:t xml:space="preserve">8.2 </w:t>
      </w:r>
      <w:r>
        <w:rPr>
          <w:rFonts w:hint="eastAsia"/>
        </w:rPr>
        <w:t>振动计算</w:t>
      </w:r>
    </w:p>
    <w:p w14:paraId="3B647CF0">
      <w:pPr>
        <w:spacing w:before="156"/>
        <w:ind w:firstLine="480"/>
        <w:rPr>
          <w:b/>
        </w:rPr>
      </w:pPr>
      <w:r>
        <w:rPr>
          <w:rFonts w:hint="eastAsia"/>
        </w:rPr>
        <w:t>8</w:t>
      </w:r>
      <w:r>
        <w:t>.2.1锻锤基础顶面竖向振动位移、固有圆频率和振动加速度，可按下列公式计算：</w:t>
      </w:r>
    </w:p>
    <w:p w14:paraId="1919E1AD">
      <w:pPr>
        <w:spacing w:before="156"/>
        <w:ind w:firstLine="480"/>
        <w:jc w:val="right"/>
        <w:rPr>
          <w:kern w:val="0"/>
        </w:rPr>
      </w:pPr>
      <m:oMath>
        <m:sSub>
          <m:sSubPr>
            <m:ctrlPr>
              <w:rPr>
                <w:rFonts w:ascii="Cambria Math" w:hAnsi="Cambria Math"/>
                <w:kern w:val="0"/>
              </w:rPr>
            </m:ctrlPr>
          </m:sSubPr>
          <m:e>
            <m:r>
              <m:rPr/>
              <w:rPr>
                <w:rFonts w:ascii="Cambria Math" w:hAnsi="Cambria Math"/>
                <w:kern w:val="0"/>
              </w:rPr>
              <m:t>u</m:t>
            </m:r>
            <m:ctrlPr>
              <w:rPr>
                <w:rFonts w:ascii="Cambria Math" w:hAnsi="Cambria Math"/>
                <w:kern w:val="0"/>
              </w:rPr>
            </m:ctrlPr>
          </m:e>
          <m:sub>
            <m:r>
              <m:rPr/>
              <w:rPr>
                <w:rFonts w:ascii="Cambria Math" w:hAnsi="Cambria Math"/>
                <w:kern w:val="0"/>
              </w:rPr>
              <m:t>z</m:t>
            </m:r>
            <m:ctrlPr>
              <w:rPr>
                <w:rFonts w:ascii="Cambria Math" w:hAnsi="Cambria Math"/>
                <w:kern w:val="0"/>
              </w:rPr>
            </m:ctrlPr>
          </m:sub>
        </m:sSub>
        <m:r>
          <m:rPr/>
          <w:rPr>
            <w:rFonts w:ascii="Cambria Math" w:hAnsi="Cambria Math"/>
            <w:kern w:val="0"/>
          </w:rPr>
          <m:t>=</m:t>
        </m:r>
        <m:sSub>
          <m:sSubPr>
            <m:ctrlPr>
              <w:rPr>
                <w:rFonts w:ascii="Cambria Math" w:hAnsi="Cambria Math"/>
                <w:i/>
                <w:kern w:val="0"/>
              </w:rPr>
            </m:ctrlPr>
          </m:sSubPr>
          <m:e>
            <m:r>
              <m:rPr/>
              <w:rPr>
                <w:rFonts w:ascii="Cambria Math" w:hAnsi="Cambria Math"/>
                <w:kern w:val="0"/>
              </w:rPr>
              <m:t>η</m:t>
            </m:r>
            <m:ctrlPr>
              <w:rPr>
                <w:rFonts w:ascii="Cambria Math" w:hAnsi="Cambria Math"/>
                <w:i/>
                <w:kern w:val="0"/>
              </w:rPr>
            </m:ctrlPr>
          </m:e>
          <m:sub>
            <m:r>
              <m:rPr/>
              <w:rPr>
                <w:rFonts w:ascii="Cambria Math" w:hAnsi="Cambria Math"/>
                <w:kern w:val="0"/>
              </w:rPr>
              <m:t>μ</m:t>
            </m:r>
            <m:ctrlPr>
              <w:rPr>
                <w:rFonts w:ascii="Cambria Math" w:hAnsi="Cambria Math"/>
                <w:i/>
                <w:kern w:val="0"/>
              </w:rPr>
            </m:ctrlPr>
          </m:sub>
        </m:sSub>
        <m:d>
          <m:dPr>
            <m:ctrlPr>
              <w:rPr>
                <w:rFonts w:ascii="Cambria Math" w:hAnsi="Cambria Math"/>
                <w:i/>
                <w:kern w:val="0"/>
              </w:rPr>
            </m:ctrlPr>
          </m:dPr>
          <m:e>
            <m:r>
              <m:rPr/>
              <w:rPr>
                <w:rFonts w:hint="eastAsia" w:ascii="Cambria Math" w:hAnsi="Cambria Math"/>
                <w:kern w:val="0"/>
              </w:rPr>
              <m:t>1+e</m:t>
            </m:r>
            <m:ctrlPr>
              <w:rPr>
                <w:rFonts w:ascii="Cambria Math" w:hAnsi="Cambria Math"/>
                <w:i/>
                <w:kern w:val="0"/>
              </w:rPr>
            </m:ctrlPr>
          </m:e>
        </m:d>
        <m:f>
          <m:fPr>
            <m:ctrlPr>
              <w:rPr>
                <w:rFonts w:ascii="Cambria Math" w:hAnsi="Cambria Math"/>
                <w:i/>
                <w:kern w:val="0"/>
              </w:rPr>
            </m:ctrlPr>
          </m:fPr>
          <m:num>
            <m:sSub>
              <m:sSubPr>
                <m:ctrlPr>
                  <w:rPr>
                    <w:rFonts w:ascii="Cambria Math" w:hAnsi="Cambria Math"/>
                    <w:i/>
                    <w:kern w:val="0"/>
                  </w:rPr>
                </m:ctrlPr>
              </m:sSubPr>
              <m:e>
                <m:r>
                  <m:rPr/>
                  <w:rPr>
                    <w:rFonts w:ascii="Cambria Math" w:hAnsi="Cambria Math"/>
                    <w:kern w:val="0"/>
                  </w:rPr>
                  <m:t>v</m:t>
                </m:r>
                <m:ctrlPr>
                  <w:rPr>
                    <w:rFonts w:ascii="Cambria Math" w:hAnsi="Cambria Math"/>
                    <w:i/>
                    <w:kern w:val="0"/>
                  </w:rPr>
                </m:ctrlPr>
              </m:e>
              <m:sub>
                <m:r>
                  <m:rPr>
                    <m:sty m:val="p"/>
                  </m:rPr>
                  <w:rPr>
                    <w:rFonts w:ascii="Cambria Math" w:hAnsi="Cambria Math"/>
                    <w:kern w:val="0"/>
                  </w:rPr>
                  <m:t>o</m:t>
                </m:r>
                <m:ctrlPr>
                  <w:rPr>
                    <w:rFonts w:ascii="Cambria Math" w:hAnsi="Cambria Math"/>
                    <w:i/>
                    <w:kern w:val="0"/>
                  </w:rPr>
                </m:ctrlPr>
              </m:sub>
            </m:sSub>
            <m:sSub>
              <m:sSubPr>
                <m:ctrlPr>
                  <w:rPr>
                    <w:rFonts w:ascii="Cambria Math" w:hAnsi="Cambria Math"/>
                    <w:i/>
                    <w:kern w:val="0"/>
                  </w:rPr>
                </m:ctrlPr>
              </m:sSubPr>
              <m:e>
                <m:r>
                  <m:rPr/>
                  <w:rPr>
                    <w:rFonts w:ascii="Cambria Math" w:hAnsi="Cambria Math"/>
                    <w:kern w:val="0"/>
                  </w:rPr>
                  <m:t>m</m:t>
                </m:r>
                <m:ctrlPr>
                  <w:rPr>
                    <w:rFonts w:ascii="Cambria Math" w:hAnsi="Cambria Math"/>
                    <w:i/>
                    <w:kern w:val="0"/>
                  </w:rPr>
                </m:ctrlPr>
              </m:e>
              <m:sub>
                <m:r>
                  <m:rPr>
                    <m:sty m:val="p"/>
                  </m:rPr>
                  <w:rPr>
                    <w:rFonts w:ascii="Cambria Math" w:hAnsi="Cambria Math"/>
                    <w:kern w:val="0"/>
                  </w:rPr>
                  <m:t>o</m:t>
                </m:r>
                <m:ctrlPr>
                  <w:rPr>
                    <w:rFonts w:ascii="Cambria Math" w:hAnsi="Cambria Math"/>
                    <w:i/>
                    <w:kern w:val="0"/>
                  </w:rPr>
                </m:ctrlPr>
              </m:sub>
            </m:sSub>
            <m:ctrlPr>
              <w:rPr>
                <w:rFonts w:ascii="Cambria Math" w:hAnsi="Cambria Math"/>
                <w:i/>
                <w:kern w:val="0"/>
              </w:rPr>
            </m:ctrlPr>
          </m:num>
          <m:den>
            <m:rad>
              <m:radPr>
                <m:degHide m:val="1"/>
                <m:ctrlPr>
                  <w:rPr>
                    <w:rFonts w:ascii="Cambria Math" w:hAnsi="Cambria Math"/>
                    <w:i/>
                    <w:kern w:val="0"/>
                  </w:rPr>
                </m:ctrlPr>
              </m:radPr>
              <m:deg>
                <m:ctrlPr>
                  <w:rPr>
                    <w:rFonts w:ascii="Cambria Math" w:hAnsi="Cambria Math"/>
                    <w:i/>
                    <w:kern w:val="0"/>
                  </w:rPr>
                </m:ctrlPr>
              </m:deg>
              <m:e>
                <m:sSub>
                  <m:sSubPr>
                    <m:ctrlPr>
                      <w:rPr>
                        <w:rFonts w:ascii="Cambria Math" w:hAnsi="Cambria Math"/>
                        <w:i/>
                        <w:kern w:val="0"/>
                      </w:rPr>
                    </m:ctrlPr>
                  </m:sSubPr>
                  <m:e>
                    <m:r>
                      <m:rPr/>
                      <w:rPr>
                        <w:rFonts w:ascii="Cambria Math" w:hAnsi="Cambria Math"/>
                        <w:kern w:val="0"/>
                      </w:rPr>
                      <m:t>K</m:t>
                    </m:r>
                    <m:ctrlPr>
                      <w:rPr>
                        <w:rFonts w:ascii="Cambria Math" w:hAnsi="Cambria Math"/>
                        <w:i/>
                        <w:kern w:val="0"/>
                      </w:rPr>
                    </m:ctrlPr>
                  </m:e>
                  <m:sub>
                    <m:r>
                      <m:rPr>
                        <m:sty m:val="p"/>
                      </m:rPr>
                      <w:rPr>
                        <w:rFonts w:ascii="Cambria Math" w:hAnsi="Cambria Math"/>
                        <w:kern w:val="0"/>
                      </w:rPr>
                      <m:t>z</m:t>
                    </m:r>
                    <m:ctrlPr>
                      <w:rPr>
                        <w:rFonts w:ascii="Cambria Math" w:hAnsi="Cambria Math"/>
                        <w:i/>
                        <w:kern w:val="0"/>
                      </w:rPr>
                    </m:ctrlPr>
                  </m:sub>
                </m:sSub>
                <m:r>
                  <m:rPr/>
                  <w:rPr>
                    <w:rFonts w:ascii="Cambria Math" w:hAnsi="Cambria Math"/>
                    <w:kern w:val="0"/>
                  </w:rPr>
                  <m:t>m</m:t>
                </m:r>
                <m:ctrlPr>
                  <w:rPr>
                    <w:rFonts w:ascii="Cambria Math" w:hAnsi="Cambria Math"/>
                    <w:i/>
                    <w:kern w:val="0"/>
                  </w:rPr>
                </m:ctrlPr>
              </m:e>
            </m:rad>
            <m:ctrlPr>
              <w:rPr>
                <w:rFonts w:ascii="Cambria Math" w:hAnsi="Cambria Math"/>
                <w:i/>
                <w:kern w:val="0"/>
              </w:rPr>
            </m:ctrlPr>
          </m:den>
        </m:f>
      </m:oMath>
      <w:r>
        <w:rPr>
          <w:kern w:val="0"/>
        </w:rPr>
        <w:fldChar w:fldCharType="begin"/>
      </w:r>
      <w:r>
        <w:rPr>
          <w:kern w:val="0"/>
        </w:rPr>
        <w:instrText xml:space="preserve"> QUOTE </w:instrText>
      </w:r>
      <m:oMath>
        <m:sSub>
          <m:sSubPr>
            <m:ctrlPr>
              <w:rPr>
                <w:rFonts w:ascii="Cambria Math" w:hAnsi="Cambria Math"/>
                <w:kern w:val="0"/>
              </w:rPr>
            </m:ctrlPr>
          </m:sSubPr>
          <m:e>
            <m:r>
              <m:rPr>
                <m:sty m:val="p"/>
              </m:rPr>
              <w:rPr>
                <w:rFonts w:ascii="Cambria Math" w:hAnsi="Cambria Math"/>
                <w:kern w:val="0"/>
              </w:rPr>
              <m:t xml:space="preserve">A</m:t>
            </m:r>
            <m:ctrlPr>
              <w:rPr>
                <w:rFonts w:ascii="Cambria Math" w:hAnsi="Cambria Math"/>
                <w:kern w:val="0"/>
              </w:rPr>
            </m:ctrlPr>
          </m:e>
          <m:sub>
            <m:r>
              <m:rPr>
                <m:sty m:val="p"/>
              </m:rPr>
              <w:rPr>
                <w:rFonts w:ascii="Cambria Math" w:hAnsi="Cambria Math"/>
                <w:kern w:val="0"/>
              </w:rPr>
              <m:t xml:space="preserve">z</m:t>
            </m:r>
            <m:ctrlPr>
              <w:rPr>
                <w:rFonts w:ascii="Cambria Math" w:hAnsi="Cambria Math"/>
                <w:kern w:val="0"/>
              </w:rPr>
            </m:ctrlPr>
          </m:sub>
        </m:sSub>
        <m:r>
          <m:rPr>
            <m:sty m:val="p"/>
          </m:rPr>
          <w:rPr>
            <w:rFonts w:ascii="Cambria Math" w:hAnsi="Cambria Math"/>
            <w:kern w:val="0"/>
          </w:rPr>
          <m:t xml:space="preserve">=</m:t>
        </m:r>
        <m:sSub>
          <m:sSubPr>
            <m:ctrlPr>
              <w:rPr>
                <w:rFonts w:ascii="Cambria Math" w:hAnsi="Cambria Math"/>
                <w:i/>
                <w:kern w:val="0"/>
              </w:rPr>
            </m:ctrlPr>
          </m:sSubPr>
          <m:e>
            <m:r>
              <m:rPr>
                <m:sty m:val="p"/>
              </m:rPr>
              <w:rPr>
                <w:rFonts w:ascii="Cambria Math" w:hAnsi="Cambria Math"/>
                <w:kern w:val="0"/>
              </w:rPr>
              <m:t xml:space="preserve">k</m:t>
            </m:r>
            <m:ctrlPr>
              <w:rPr>
                <w:rFonts w:ascii="Cambria Math" w:hAnsi="Cambria Math"/>
                <w:i/>
                <w:kern w:val="0"/>
              </w:rPr>
            </m:ctrlPr>
          </m:e>
          <m:sub>
            <m:r>
              <m:rPr>
                <m:sty m:val="p"/>
              </m:rPr>
              <w:rPr>
                <w:rFonts w:ascii="Cambria Math" w:hAnsi="Cambria Math"/>
                <w:kern w:val="0"/>
              </w:rPr>
              <m:t xml:space="preserve">A</m:t>
            </m:r>
            <m:ctrlPr>
              <w:rPr>
                <w:rFonts w:ascii="Cambria Math" w:hAnsi="Cambria Math"/>
                <w:i/>
                <w:kern w:val="0"/>
              </w:rPr>
            </m:ctrlPr>
          </m:sub>
        </m:sSub>
        <m:f>
          <m:fPr>
            <m:ctrlPr>
              <w:rPr>
                <w:rFonts w:ascii="Cambria Math" w:hAnsi="Cambria Math"/>
                <w:i/>
                <w:kern w:val="0"/>
              </w:rPr>
            </m:ctrlPr>
          </m:fPr>
          <m:num>
            <m:sSub>
              <m:sSubPr>
                <m:ctrlPr>
                  <w:rPr>
                    <w:rFonts w:ascii="Cambria Math" w:hAnsi="Cambria Math"/>
                    <w:i/>
                    <w:kern w:val="0"/>
                  </w:rPr>
                </m:ctrlPr>
              </m:sSubPr>
              <m:e>
                <m:r>
                  <m:rPr>
                    <m:sty m:val="p"/>
                  </m:rPr>
                  <w:rPr>
                    <w:rFonts w:ascii="Cambria Math" w:hAnsi="Cambria Math"/>
                    <w:kern w:val="0"/>
                  </w:rPr>
                  <m:t xml:space="preserve">e</m:t>
                </m:r>
                <m:ctrlPr>
                  <w:rPr>
                    <w:rFonts w:ascii="Cambria Math" w:hAnsi="Cambria Math"/>
                    <w:i/>
                    <w:kern w:val="0"/>
                  </w:rPr>
                </m:ctrlPr>
              </m:e>
              <m:sub>
                <m:r>
                  <m:rPr>
                    <m:sty m:val="p"/>
                  </m:rPr>
                  <w:rPr>
                    <w:rFonts w:ascii="Cambria Math" w:hAnsi="Cambria Math"/>
                    <w:kern w:val="0"/>
                  </w:rPr>
                  <m:t xml:space="preserve">n</m:t>
                </m:r>
                <m:ctrlPr>
                  <w:rPr>
                    <w:rFonts w:ascii="Cambria Math" w:hAnsi="Cambria Math"/>
                    <w:i/>
                    <w:kern w:val="0"/>
                  </w:rPr>
                </m:ctrlPr>
              </m:sub>
            </m:sSub>
            <m:sSub>
              <m:sSubPr>
                <m:ctrlPr>
                  <w:rPr>
                    <w:rFonts w:ascii="Cambria Math" w:hAnsi="Cambria Math"/>
                    <w:i/>
                    <w:kern w:val="0"/>
                  </w:rPr>
                </m:ctrlPr>
              </m:sSubPr>
              <m:e>
                <m:r>
                  <m:rPr>
                    <m:sty m:val="p"/>
                  </m:rPr>
                  <w:rPr>
                    <w:rFonts w:ascii="Cambria Math" w:hAnsi="Cambria Math"/>
                    <w:kern w:val="0"/>
                  </w:rPr>
                  <m:t xml:space="preserve">V</m:t>
                </m:r>
                <m:ctrlPr>
                  <w:rPr>
                    <w:rFonts w:ascii="Cambria Math" w:hAnsi="Cambria Math"/>
                    <w:i/>
                    <w:kern w:val="0"/>
                  </w:rPr>
                </m:ctrlPr>
              </m:e>
              <m:sub>
                <m:r>
                  <m:rPr>
                    <m:sty m:val="p"/>
                  </m:rPr>
                  <w:rPr>
                    <w:rFonts w:ascii="Cambria Math" w:hAnsi="Cambria Math"/>
                    <w:kern w:val="0"/>
                  </w:rPr>
                  <m:t xml:space="preserve">0</m:t>
                </m:r>
                <m:ctrlPr>
                  <w:rPr>
                    <w:rFonts w:ascii="Cambria Math" w:hAnsi="Cambria Math"/>
                    <w:i/>
                    <w:kern w:val="0"/>
                  </w:rPr>
                </m:ctrlPr>
              </m:sub>
            </m:sSub>
            <m:sSub>
              <m:sSubPr>
                <m:ctrlPr>
                  <w:rPr>
                    <w:rFonts w:ascii="Cambria Math" w:hAnsi="Cambria Math"/>
                    <w:i/>
                    <w:kern w:val="0"/>
                  </w:rPr>
                </m:ctrlPr>
              </m:sSubPr>
              <m:e>
                <m:r>
                  <m:rPr>
                    <m:sty m:val="p"/>
                  </m:rPr>
                  <w:rPr>
                    <w:rFonts w:ascii="Cambria Math" w:hAnsi="Cambria Math"/>
                    <w:kern w:val="0"/>
                  </w:rPr>
                  <m:t xml:space="preserve">m</m:t>
                </m:r>
                <m:ctrlPr>
                  <w:rPr>
                    <w:rFonts w:ascii="Cambria Math" w:hAnsi="Cambria Math"/>
                    <w:i/>
                    <w:kern w:val="0"/>
                  </w:rPr>
                </m:ctrlPr>
              </m:e>
              <m:sub>
                <m:r>
                  <m:rPr>
                    <m:sty m:val="p"/>
                  </m:rPr>
                  <w:rPr>
                    <w:rFonts w:ascii="Cambria Math" w:hAnsi="Cambria Math"/>
                    <w:kern w:val="0"/>
                  </w:rPr>
                  <m:t xml:space="preserve">0</m:t>
                </m:r>
                <m:ctrlPr>
                  <w:rPr>
                    <w:rFonts w:ascii="Cambria Math" w:hAnsi="Cambria Math"/>
                    <w:i/>
                    <w:kern w:val="0"/>
                  </w:rPr>
                </m:ctrlPr>
              </m:sub>
            </m:sSub>
            <m:ctrlPr>
              <w:rPr>
                <w:rFonts w:ascii="Cambria Math" w:hAnsi="Cambria Math"/>
                <w:i/>
                <w:kern w:val="0"/>
              </w:rPr>
            </m:ctrlPr>
          </m:num>
          <m:den>
            <m:rad>
              <m:radPr>
                <m:degHide m:val="1"/>
                <m:ctrlPr>
                  <w:rPr>
                    <w:rFonts w:ascii="Cambria Math" w:hAnsi="Cambria Math"/>
                    <w:i/>
                    <w:kern w:val="0"/>
                  </w:rPr>
                </m:ctrlPr>
              </m:radPr>
              <m:deg>
                <m:ctrlPr>
                  <w:rPr>
                    <w:rFonts w:ascii="Cambria Math" w:hAnsi="Cambria Math"/>
                    <w:i/>
                    <w:kern w:val="0"/>
                  </w:rPr>
                </m:ctrlPr>
              </m:deg>
              <m:e>
                <m:sSub>
                  <m:sSubPr>
                    <m:ctrlPr>
                      <w:rPr>
                        <w:rFonts w:ascii="Cambria Math" w:hAnsi="Cambria Math"/>
                        <w:i/>
                        <w:kern w:val="0"/>
                      </w:rPr>
                    </m:ctrlPr>
                  </m:sSubPr>
                  <m:e>
                    <m:r>
                      <m:rPr>
                        <m:sty m:val="p"/>
                      </m:rPr>
                      <w:rPr>
                        <w:rFonts w:ascii="Cambria Math" w:hAnsi="Cambria Math"/>
                        <w:kern w:val="0"/>
                      </w:rPr>
                      <m:t xml:space="preserve">K</m:t>
                    </m:r>
                    <m:ctrlPr>
                      <w:rPr>
                        <w:rFonts w:ascii="Cambria Math" w:hAnsi="Cambria Math"/>
                        <w:i/>
                        <w:kern w:val="0"/>
                      </w:rPr>
                    </m:ctrlPr>
                  </m:e>
                  <m:sub>
                    <m:r>
                      <m:rPr>
                        <m:sty m:val="p"/>
                      </m:rPr>
                      <w:rPr>
                        <w:rFonts w:ascii="Cambria Math" w:hAnsi="Cambria Math"/>
                        <w:kern w:val="0"/>
                      </w:rPr>
                      <m:t xml:space="preserve">z</m:t>
                    </m:r>
                    <m:ctrlPr>
                      <w:rPr>
                        <w:rFonts w:ascii="Cambria Math" w:hAnsi="Cambria Math"/>
                        <w:i/>
                        <w:kern w:val="0"/>
                      </w:rPr>
                    </m:ctrlPr>
                  </m:sub>
                </m:sSub>
                <m:r>
                  <m:rPr>
                    <m:sty m:val="p"/>
                  </m:rPr>
                  <w:rPr>
                    <w:rFonts w:ascii="Cambria Math" w:hAnsi="Cambria Math"/>
                    <w:kern w:val="0"/>
                  </w:rPr>
                  <m:t xml:space="preserve">m</m:t>
                </m:r>
                <m:ctrlPr>
                  <w:rPr>
                    <w:rFonts w:ascii="Cambria Math" w:hAnsi="Cambria Math"/>
                    <w:i/>
                    <w:kern w:val="0"/>
                  </w:rPr>
                </m:ctrlPr>
              </m:e>
            </m:rad>
            <m:ctrlPr>
              <w:rPr>
                <w:rFonts w:ascii="Cambria Math" w:hAnsi="Cambria Math"/>
                <w:i/>
                <w:kern w:val="0"/>
              </w:rPr>
            </m:ctrlPr>
          </m:den>
        </m:f>
      </m:oMath>
      <w:r>
        <w:rPr>
          <w:kern w:val="0"/>
        </w:rPr>
        <w:instrText xml:space="preserve"> </w:instrText>
      </w:r>
      <w:r>
        <w:rPr>
          <w:kern w:val="0"/>
        </w:rPr>
        <w:fldChar w:fldCharType="end"/>
      </w:r>
      <w:r>
        <w:rPr>
          <w:kern w:val="0"/>
        </w:rPr>
        <w:t xml:space="preserve">                      (8.2.1-1)</w:t>
      </w:r>
    </w:p>
    <w:p w14:paraId="10F35F33">
      <w:pPr>
        <w:spacing w:before="156"/>
        <w:ind w:firstLine="480"/>
        <w:jc w:val="right"/>
        <w:rPr>
          <w:kern w:val="0"/>
        </w:rPr>
      </w:pPr>
      <w:r>
        <w:rPr>
          <w:kern w:val="0"/>
        </w:rPr>
        <w:t xml:space="preserve">    </w:t>
      </w:r>
      <m:oMath>
        <m:sSub>
          <m:sSubPr>
            <m:ctrlPr>
              <w:rPr>
                <w:rFonts w:ascii="Cambria Math" w:hAnsi="Cambria Math"/>
                <w:kern w:val="0"/>
              </w:rPr>
            </m:ctrlPr>
          </m:sSubPr>
          <m:e>
            <m:r>
              <m:rPr/>
              <w:rPr>
                <w:rFonts w:ascii="Cambria Math" w:hAnsi="Cambria Math"/>
                <w:kern w:val="0"/>
              </w:rPr>
              <m:t>a</m:t>
            </m:r>
            <m:ctrlPr>
              <w:rPr>
                <w:rFonts w:ascii="Cambria Math" w:hAnsi="Cambria Math"/>
                <w:kern w:val="0"/>
              </w:rPr>
            </m:ctrlPr>
          </m:e>
          <m:sub>
            <m:r>
              <m:rPr>
                <m:sty m:val="p"/>
              </m:rPr>
              <w:rPr>
                <w:rFonts w:ascii="Cambria Math" w:hAnsi="Cambria Math"/>
                <w:kern w:val="0"/>
              </w:rPr>
              <m:t>z</m:t>
            </m:r>
            <m:ctrlPr>
              <w:rPr>
                <w:rFonts w:ascii="Cambria Math" w:hAnsi="Cambria Math"/>
                <w:kern w:val="0"/>
              </w:rPr>
            </m:ctrlPr>
          </m:sub>
        </m:sSub>
        <m:r>
          <m:rPr>
            <m:sty m:val="p"/>
          </m:rPr>
          <w:rPr>
            <w:rFonts w:ascii="Cambria Math" w:hAnsi="Cambria Math"/>
            <w:kern w:val="0"/>
          </w:rPr>
          <m:t>=</m:t>
        </m:r>
        <m:sSub>
          <m:sSubPr>
            <m:ctrlPr>
              <w:rPr>
                <w:rFonts w:ascii="Cambria Math" w:hAnsi="Cambria Math"/>
                <w:kern w:val="0"/>
              </w:rPr>
            </m:ctrlPr>
          </m:sSubPr>
          <m:e>
            <m:r>
              <m:rPr/>
              <w:rPr>
                <w:rFonts w:ascii="Cambria Math" w:hAnsi="Cambria Math"/>
                <w:kern w:val="0"/>
              </w:rPr>
              <m:t>u</m:t>
            </m:r>
            <m:ctrlPr>
              <w:rPr>
                <w:rFonts w:ascii="Cambria Math" w:hAnsi="Cambria Math"/>
                <w:kern w:val="0"/>
              </w:rPr>
            </m:ctrlPr>
          </m:e>
          <m:sub>
            <m:r>
              <m:rPr>
                <m:sty m:val="p"/>
              </m:rPr>
              <w:rPr>
                <w:rFonts w:ascii="Cambria Math" w:hAnsi="Cambria Math"/>
                <w:kern w:val="0"/>
              </w:rPr>
              <m:t>z</m:t>
            </m:r>
            <m:ctrlPr>
              <w:rPr>
                <w:rFonts w:ascii="Cambria Math" w:hAnsi="Cambria Math"/>
                <w:kern w:val="0"/>
              </w:rPr>
            </m:ctrlPr>
          </m:sub>
        </m:sSub>
        <m:sSubSup>
          <m:sSubSupPr>
            <m:ctrlPr>
              <w:rPr>
                <w:rFonts w:ascii="Cambria Math" w:hAnsi="Cambria Math"/>
                <w:i/>
                <w:kern w:val="0"/>
              </w:rPr>
            </m:ctrlPr>
          </m:sSubSupPr>
          <m:e>
            <m:r>
              <m:rPr/>
              <w:rPr>
                <w:rFonts w:ascii="Cambria Math" w:hAnsi="Cambria Math"/>
                <w:kern w:val="0"/>
              </w:rPr>
              <m:t>ω</m:t>
            </m:r>
            <m:ctrlPr>
              <w:rPr>
                <w:rFonts w:ascii="Cambria Math" w:hAnsi="Cambria Math"/>
                <w:i/>
                <w:kern w:val="0"/>
              </w:rPr>
            </m:ctrlPr>
          </m:e>
          <m:sub>
            <m:r>
              <m:rPr>
                <m:sty m:val="p"/>
              </m:rPr>
              <w:rPr>
                <w:rFonts w:ascii="Cambria Math" w:hAnsi="Cambria Math"/>
                <w:kern w:val="0"/>
              </w:rPr>
              <m:t>nz</m:t>
            </m:r>
            <m:ctrlPr>
              <w:rPr>
                <w:rFonts w:ascii="Cambria Math" w:hAnsi="Cambria Math"/>
                <w:i/>
                <w:kern w:val="0"/>
              </w:rPr>
            </m:ctrlPr>
          </m:sub>
          <m:sup>
            <m:r>
              <m:rPr/>
              <w:rPr>
                <w:rFonts w:ascii="Cambria Math" w:hAnsi="Cambria Math"/>
                <w:kern w:val="0"/>
              </w:rPr>
              <m:t>2</m:t>
            </m:r>
            <m:ctrlPr>
              <w:rPr>
                <w:rFonts w:ascii="Cambria Math" w:hAnsi="Cambria Math"/>
                <w:i/>
                <w:kern w:val="0"/>
              </w:rPr>
            </m:ctrlPr>
          </m:sup>
        </m:sSubSup>
      </m:oMath>
      <w:r>
        <w:rPr>
          <w:kern w:val="0"/>
        </w:rPr>
        <w:t xml:space="preserve">                        (8.2.1-2)</w:t>
      </w:r>
    </w:p>
    <w:p w14:paraId="6397E797">
      <w:pPr>
        <w:spacing w:before="156"/>
        <w:ind w:firstLine="480"/>
        <w:jc w:val="right"/>
        <w:rPr>
          <w:kern w:val="0"/>
        </w:rPr>
      </w:pPr>
      <w:r>
        <w:rPr>
          <w:kern w:val="0"/>
        </w:rPr>
        <w:t xml:space="preserve">        </w:t>
      </w:r>
      <m:oMath>
        <m:sSub>
          <m:sSubPr>
            <m:ctrlPr>
              <w:rPr>
                <w:rFonts w:ascii="Cambria Math" w:hAnsi="Cambria Math"/>
                <w:i/>
                <w:kern w:val="0"/>
              </w:rPr>
            </m:ctrlPr>
          </m:sSubPr>
          <m:e>
            <m:r>
              <m:rPr/>
              <w:rPr>
                <w:rFonts w:ascii="Cambria Math" w:hAnsi="Cambria Math"/>
                <w:kern w:val="0"/>
              </w:rPr>
              <m:t>ω</m:t>
            </m:r>
            <m:ctrlPr>
              <w:rPr>
                <w:rFonts w:ascii="Cambria Math" w:hAnsi="Cambria Math"/>
                <w:kern w:val="0"/>
              </w:rPr>
            </m:ctrlPr>
          </m:e>
          <m:sub>
            <m:r>
              <m:rPr>
                <m:sty m:val="p"/>
              </m:rPr>
              <w:rPr>
                <w:rFonts w:ascii="Cambria Math" w:hAnsi="Cambria Math"/>
                <w:kern w:val="0"/>
              </w:rPr>
              <m:t>nz</m:t>
            </m:r>
            <m:ctrlPr>
              <w:rPr>
                <w:rFonts w:ascii="Cambria Math" w:hAnsi="Cambria Math"/>
                <w:kern w:val="0"/>
              </w:rPr>
            </m:ctrlPr>
          </m:sub>
        </m:sSub>
        <m:r>
          <m:rPr/>
          <w:rPr>
            <w:rFonts w:ascii="Cambria Math" w:hAnsi="Cambria Math"/>
            <w:kern w:val="0"/>
          </w:rPr>
          <m:t>=</m:t>
        </m:r>
        <m:sSub>
          <m:sSubPr>
            <m:ctrlPr>
              <w:rPr>
                <w:rFonts w:ascii="Cambria Math" w:hAnsi="Cambria Math"/>
                <w:i/>
                <w:kern w:val="0"/>
              </w:rPr>
            </m:ctrlPr>
          </m:sSubPr>
          <m:e>
            <m:r>
              <m:rPr/>
              <w:rPr>
                <w:rFonts w:ascii="Cambria Math" w:hAnsi="Cambria Math"/>
                <w:kern w:val="0"/>
              </w:rPr>
              <m:t>η</m:t>
            </m:r>
            <m:ctrlPr>
              <w:rPr>
                <w:rFonts w:ascii="Cambria Math" w:hAnsi="Cambria Math"/>
                <w:i/>
                <w:kern w:val="0"/>
              </w:rPr>
            </m:ctrlPr>
          </m:e>
          <m:sub>
            <m:r>
              <m:rPr/>
              <w:rPr>
                <w:rFonts w:ascii="Cambria Math" w:hAnsi="Cambria Math"/>
                <w:kern w:val="0"/>
              </w:rPr>
              <m:t>λ</m:t>
            </m:r>
            <m:ctrlPr>
              <w:rPr>
                <w:rFonts w:ascii="Cambria Math" w:hAnsi="Cambria Math"/>
                <w:i/>
                <w:kern w:val="0"/>
              </w:rPr>
            </m:ctrlPr>
          </m:sub>
        </m:sSub>
        <m:rad>
          <m:radPr>
            <m:degHide m:val="1"/>
            <m:ctrlPr>
              <w:rPr>
                <w:rFonts w:ascii="Cambria Math" w:hAnsi="Cambria Math"/>
                <w:i/>
                <w:kern w:val="0"/>
              </w:rPr>
            </m:ctrlPr>
          </m:radPr>
          <m:deg>
            <m:ctrlPr>
              <w:rPr>
                <w:rFonts w:ascii="Cambria Math" w:hAnsi="Cambria Math"/>
                <w:i/>
                <w:kern w:val="0"/>
              </w:rPr>
            </m:ctrlPr>
          </m:deg>
          <m:e>
            <m:f>
              <m:fPr>
                <m:ctrlPr>
                  <w:rPr>
                    <w:rFonts w:ascii="Cambria Math" w:hAnsi="Cambria Math"/>
                    <w:i/>
                    <w:kern w:val="0"/>
                  </w:rPr>
                </m:ctrlPr>
              </m:fPr>
              <m:num>
                <m:sSub>
                  <m:sSubPr>
                    <m:ctrlPr>
                      <w:rPr>
                        <w:rFonts w:ascii="Cambria Math" w:hAnsi="Cambria Math"/>
                        <w:i/>
                        <w:kern w:val="0"/>
                      </w:rPr>
                    </m:ctrlPr>
                  </m:sSubPr>
                  <m:e>
                    <m:r>
                      <m:rPr/>
                      <w:rPr>
                        <w:rFonts w:ascii="Cambria Math" w:hAnsi="Cambria Math"/>
                        <w:kern w:val="0"/>
                      </w:rPr>
                      <m:t>K</m:t>
                    </m:r>
                    <m:ctrlPr>
                      <w:rPr>
                        <w:rFonts w:ascii="Cambria Math" w:hAnsi="Cambria Math"/>
                        <w:i/>
                        <w:kern w:val="0"/>
                      </w:rPr>
                    </m:ctrlPr>
                  </m:e>
                  <m:sub>
                    <m:r>
                      <m:rPr/>
                      <w:rPr>
                        <w:rFonts w:ascii="Cambria Math" w:hAnsi="Cambria Math"/>
                        <w:kern w:val="0"/>
                      </w:rPr>
                      <m:t>z</m:t>
                    </m:r>
                    <m:ctrlPr>
                      <w:rPr>
                        <w:rFonts w:ascii="Cambria Math" w:hAnsi="Cambria Math"/>
                        <w:i/>
                        <w:kern w:val="0"/>
                      </w:rPr>
                    </m:ctrlPr>
                  </m:sub>
                </m:sSub>
                <m:ctrlPr>
                  <w:rPr>
                    <w:rFonts w:ascii="Cambria Math" w:hAnsi="Cambria Math"/>
                    <w:i/>
                    <w:kern w:val="0"/>
                  </w:rPr>
                </m:ctrlPr>
              </m:num>
              <m:den>
                <m:r>
                  <m:rPr/>
                  <w:rPr>
                    <w:rFonts w:ascii="Cambria Math" w:hAnsi="Cambria Math"/>
                    <w:kern w:val="0"/>
                  </w:rPr>
                  <m:t>m</m:t>
                </m:r>
                <m:ctrlPr>
                  <w:rPr>
                    <w:rFonts w:ascii="Cambria Math" w:hAnsi="Cambria Math"/>
                    <w:i/>
                    <w:kern w:val="0"/>
                  </w:rPr>
                </m:ctrlPr>
              </m:den>
            </m:f>
            <m:ctrlPr>
              <w:rPr>
                <w:rFonts w:ascii="Cambria Math" w:hAnsi="Cambria Math"/>
                <w:i/>
                <w:kern w:val="0"/>
              </w:rPr>
            </m:ctrlPr>
          </m:e>
        </m:rad>
      </m:oMath>
      <w:r>
        <w:rPr>
          <w:kern w:val="0"/>
        </w:rPr>
        <w:fldChar w:fldCharType="begin"/>
      </w:r>
      <w:r>
        <w:rPr>
          <w:kern w:val="0"/>
        </w:rPr>
        <w:instrText xml:space="preserve"> QUOTE </w:instrText>
      </w:r>
      <m:oMath>
        <m:sSubSup>
          <m:sSubSupPr>
            <m:ctrlPr>
              <w:rPr>
                <w:rFonts w:ascii="Cambria Math" w:hAnsi="Cambria Math"/>
                <w:kern w:val="0"/>
              </w:rPr>
            </m:ctrlPr>
          </m:sSubSupPr>
          <m:e>
            <m:r>
              <m:rPr>
                <m:sty m:val="p"/>
              </m:rPr>
              <w:rPr>
                <w:rFonts w:ascii="Cambria Math" w:hAnsi="Cambria Math"/>
                <w:kern w:val="0"/>
              </w:rPr>
              <m:t xml:space="preserve">ω</m:t>
            </m:r>
            <m:ctrlPr>
              <w:rPr>
                <w:rFonts w:ascii="Cambria Math" w:hAnsi="Cambria Math"/>
                <w:kern w:val="0"/>
              </w:rPr>
            </m:ctrlPr>
          </m:e>
          <m:sub>
            <m:r>
              <m:rPr>
                <m:sty m:val="p"/>
              </m:rPr>
              <w:rPr>
                <w:rFonts w:ascii="Cambria Math" w:hAnsi="Cambria Math"/>
                <w:kern w:val="0"/>
              </w:rPr>
              <m:t xml:space="preserve">nz</m:t>
            </m:r>
            <m:ctrlPr>
              <w:rPr>
                <w:rFonts w:ascii="Cambria Math" w:hAnsi="Cambria Math"/>
                <w:kern w:val="0"/>
              </w:rPr>
            </m:ctrlPr>
          </m:sub>
          <m:sup>
            <m:r>
              <m:rPr>
                <m:sty m:val="p"/>
              </m:rPr>
              <w:rPr>
                <w:rFonts w:ascii="Cambria Math" w:hAnsi="Cambria Math"/>
                <w:kern w:val="0"/>
              </w:rPr>
              <m:t xml:space="preserve">2</m:t>
            </m:r>
            <m:ctrlPr>
              <w:rPr>
                <w:rFonts w:ascii="Cambria Math" w:hAnsi="Cambria Math"/>
                <w:kern w:val="0"/>
              </w:rPr>
            </m:ctrlPr>
          </m:sup>
        </m:sSubSup>
        <m:r>
          <m:rPr>
            <m:sty m:val="p"/>
          </m:rPr>
          <w:rPr>
            <w:rFonts w:ascii="Cambria Math" w:hAnsi="Cambria Math"/>
            <w:kern w:val="0"/>
          </w:rPr>
          <m:t xml:space="preserve">=</m:t>
        </m:r>
        <m:sSubSup>
          <m:sSubSupPr>
            <m:ctrlPr>
              <w:rPr>
                <w:rFonts w:ascii="Cambria Math" w:hAnsi="Cambria Math"/>
                <w:i/>
                <w:kern w:val="0"/>
              </w:rPr>
            </m:ctrlPr>
          </m:sSubSupPr>
          <m:e>
            <m:r>
              <m:rPr>
                <m:sty m:val="p"/>
              </m:rPr>
              <w:rPr>
                <w:rFonts w:ascii="Cambria Math" w:hAnsi="Cambria Math"/>
                <w:kern w:val="0"/>
              </w:rPr>
              <m:t xml:space="preserve">k</m:t>
            </m:r>
            <m:ctrlPr>
              <w:rPr>
                <w:rFonts w:ascii="Cambria Math" w:hAnsi="Cambria Math"/>
                <w:i/>
                <w:kern w:val="0"/>
              </w:rPr>
            </m:ctrlPr>
          </m:e>
          <m:sub>
            <m:r>
              <m:rPr>
                <m:sty m:val="p"/>
              </m:rPr>
              <w:rPr>
                <w:rFonts w:ascii="Cambria Math" w:hAnsi="Cambria Math"/>
                <w:kern w:val="0"/>
              </w:rPr>
              <m:t xml:space="preserve">λ</m:t>
            </m:r>
            <m:ctrlPr>
              <w:rPr>
                <w:rFonts w:ascii="Cambria Math" w:hAnsi="Cambria Math"/>
                <w:i/>
                <w:kern w:val="0"/>
              </w:rPr>
            </m:ctrlPr>
          </m:sub>
          <m:sup>
            <m:r>
              <m:rPr>
                <m:sty m:val="p"/>
              </m:rPr>
              <w:rPr>
                <w:rFonts w:ascii="Cambria Math" w:hAnsi="Cambria Math"/>
                <w:kern w:val="0"/>
              </w:rPr>
              <m:t xml:space="preserve">2</m:t>
            </m:r>
            <m:ctrlPr>
              <w:rPr>
                <w:rFonts w:ascii="Cambria Math" w:hAnsi="Cambria Math"/>
                <w:i/>
                <w:kern w:val="0"/>
              </w:rPr>
            </m:ctrlPr>
          </m:sup>
        </m:sSubSup>
        <m:f>
          <m:fPr>
            <m:ctrlPr>
              <w:rPr>
                <w:rFonts w:ascii="Cambria Math" w:hAnsi="Cambria Math"/>
                <w:i/>
                <w:kern w:val="0"/>
              </w:rPr>
            </m:ctrlPr>
          </m:fPr>
          <m:num>
            <m:sSub>
              <m:sSubPr>
                <m:ctrlPr>
                  <w:rPr>
                    <w:rFonts w:ascii="Cambria Math" w:hAnsi="Cambria Math"/>
                    <w:i/>
                    <w:kern w:val="0"/>
                  </w:rPr>
                </m:ctrlPr>
              </m:sSubPr>
              <m:e>
                <m:r>
                  <m:rPr>
                    <m:sty m:val="p"/>
                  </m:rPr>
                  <w:rPr>
                    <w:rFonts w:ascii="Cambria Math" w:hAnsi="Cambria Math"/>
                    <w:kern w:val="0"/>
                  </w:rPr>
                  <m:t xml:space="preserve">K</m:t>
                </m:r>
                <m:ctrlPr>
                  <w:rPr>
                    <w:rFonts w:ascii="Cambria Math" w:hAnsi="Cambria Math"/>
                    <w:i/>
                    <w:kern w:val="0"/>
                  </w:rPr>
                </m:ctrlPr>
              </m:e>
              <m:sub>
                <m:r>
                  <m:rPr>
                    <m:sty m:val="p"/>
                  </m:rPr>
                  <w:rPr>
                    <w:rFonts w:ascii="Cambria Math" w:hAnsi="Cambria Math"/>
                    <w:kern w:val="0"/>
                  </w:rPr>
                  <m:t xml:space="preserve">z</m:t>
                </m:r>
                <m:ctrlPr>
                  <w:rPr>
                    <w:rFonts w:ascii="Cambria Math" w:hAnsi="Cambria Math"/>
                    <w:i/>
                    <w:kern w:val="0"/>
                  </w:rPr>
                </m:ctrlPr>
              </m:sub>
            </m:sSub>
            <m:ctrlPr>
              <w:rPr>
                <w:rFonts w:ascii="Cambria Math" w:hAnsi="Cambria Math"/>
                <w:i/>
                <w:kern w:val="0"/>
              </w:rPr>
            </m:ctrlPr>
          </m:num>
          <m:den>
            <m:r>
              <m:rPr>
                <m:sty m:val="p"/>
              </m:rPr>
              <w:rPr>
                <w:rFonts w:ascii="Cambria Math" w:hAnsi="Cambria Math"/>
                <w:kern w:val="0"/>
              </w:rPr>
              <m:t xml:space="preserve">m</m:t>
            </m:r>
            <m:ctrlPr>
              <w:rPr>
                <w:rFonts w:ascii="Cambria Math" w:hAnsi="Cambria Math"/>
                <w:i/>
                <w:kern w:val="0"/>
              </w:rPr>
            </m:ctrlPr>
          </m:den>
        </m:f>
      </m:oMath>
      <w:r>
        <w:rPr>
          <w:kern w:val="0"/>
        </w:rPr>
        <w:instrText xml:space="preserve"> </w:instrText>
      </w:r>
      <w:r>
        <w:rPr>
          <w:kern w:val="0"/>
        </w:rPr>
        <w:fldChar w:fldCharType="end"/>
      </w:r>
      <w:r>
        <w:rPr>
          <w:kern w:val="0"/>
        </w:rPr>
        <w:t xml:space="preserve">                       (8.2.1-3)</w:t>
      </w:r>
    </w:p>
    <w:p w14:paraId="559C714F">
      <w:pPr>
        <w:spacing w:before="156"/>
        <w:ind w:firstLine="480"/>
        <w:rPr>
          <w:kern w:val="0"/>
        </w:rPr>
      </w:pPr>
      <w:r>
        <w:rPr>
          <w:kern w:val="0"/>
        </w:rPr>
        <w:t>式中：</w:t>
      </w:r>
      <m:oMath>
        <m:sSub>
          <m:sSubPr>
            <m:ctrlPr>
              <w:rPr>
                <w:rFonts w:ascii="Cambria Math" w:hAnsi="Cambria Math"/>
                <w:kern w:val="0"/>
              </w:rPr>
            </m:ctrlPr>
          </m:sSubPr>
          <m:e>
            <m:r>
              <m:rPr/>
              <w:rPr>
                <w:rFonts w:ascii="Cambria Math" w:hAnsi="Cambria Math"/>
                <w:kern w:val="0"/>
              </w:rPr>
              <m:t>u</m:t>
            </m:r>
            <m:ctrlPr>
              <w:rPr>
                <w:rFonts w:ascii="Cambria Math" w:hAnsi="Cambria Math"/>
                <w:kern w:val="0"/>
              </w:rPr>
            </m:ctrlPr>
          </m:e>
          <m:sub>
            <m:r>
              <m:rPr>
                <m:sty m:val="p"/>
              </m:rPr>
              <w:rPr>
                <w:rFonts w:ascii="Cambria Math" w:hAnsi="Cambria Math"/>
                <w:kern w:val="0"/>
              </w:rPr>
              <m:t>z</m:t>
            </m:r>
            <m:ctrlPr>
              <w:rPr>
                <w:rFonts w:ascii="Cambria Math" w:hAnsi="Cambria Math"/>
                <w:kern w:val="0"/>
              </w:rPr>
            </m:ctrlPr>
          </m:sub>
        </m:sSub>
      </m:oMath>
      <w:r>
        <w:t>——锻锤</w:t>
      </w:r>
      <w:r>
        <w:rPr>
          <w:kern w:val="0"/>
        </w:rPr>
        <w:t>基础的竖向振动位移(m)；</w:t>
      </w:r>
    </w:p>
    <w:p w14:paraId="6DB3BB4A">
      <w:pPr>
        <w:spacing w:before="156"/>
        <w:ind w:left="780" w:firstLine="480"/>
        <w:rPr>
          <w:kern w:val="0"/>
        </w:rPr>
      </w:pPr>
      <m:oMath>
        <m:sSub>
          <m:sSubPr>
            <m:ctrlPr>
              <w:rPr>
                <w:rFonts w:ascii="Cambria Math" w:hAnsi="Cambria Math"/>
                <w:kern w:val="0"/>
              </w:rPr>
            </m:ctrlPr>
          </m:sSubPr>
          <m:e>
            <m:r>
              <m:rPr/>
              <w:rPr>
                <w:rFonts w:ascii="Cambria Math" w:hAnsi="Cambria Math"/>
                <w:kern w:val="0"/>
              </w:rPr>
              <m:t>a</m:t>
            </m:r>
            <m:ctrlPr>
              <w:rPr>
                <w:rFonts w:ascii="Cambria Math" w:hAnsi="Cambria Math"/>
                <w:kern w:val="0"/>
              </w:rPr>
            </m:ctrlPr>
          </m:e>
          <m:sub>
            <m:r>
              <m:rPr>
                <m:sty m:val="p"/>
              </m:rPr>
              <w:rPr>
                <w:rFonts w:ascii="Cambria Math" w:hAnsi="Cambria Math"/>
                <w:kern w:val="0"/>
              </w:rPr>
              <m:t>z</m:t>
            </m:r>
            <m:ctrlPr>
              <w:rPr>
                <w:rFonts w:ascii="Cambria Math" w:hAnsi="Cambria Math"/>
                <w:kern w:val="0"/>
              </w:rPr>
            </m:ctrlPr>
          </m:sub>
        </m:sSub>
      </m:oMath>
      <w:r>
        <w:t>——锻锤</w:t>
      </w:r>
      <w:r>
        <w:rPr>
          <w:kern w:val="0"/>
        </w:rPr>
        <w:t>基础的竖向振动加速度(m/s</w:t>
      </w:r>
      <w:r>
        <w:rPr>
          <w:kern w:val="0"/>
          <w:vertAlign w:val="superscript"/>
        </w:rPr>
        <w:t>2</w:t>
      </w:r>
      <w:r>
        <w:rPr>
          <w:kern w:val="0"/>
        </w:rPr>
        <w:t>)；</w:t>
      </w:r>
    </w:p>
    <w:p w14:paraId="2324ECB0">
      <w:pPr>
        <w:spacing w:before="156"/>
        <w:ind w:left="780" w:firstLine="480"/>
        <w:rPr>
          <w:kern w:val="0"/>
        </w:rPr>
      </w:pPr>
      <m:oMath>
        <m:sSub>
          <m:sSubPr>
            <m:ctrlPr>
              <w:rPr>
                <w:rFonts w:ascii="Cambria Math" w:hAnsi="Cambria Math"/>
                <w:i/>
                <w:kern w:val="0"/>
              </w:rPr>
            </m:ctrlPr>
          </m:sSubPr>
          <m:e>
            <m:r>
              <m:rPr/>
              <w:rPr>
                <w:rFonts w:ascii="Cambria Math" w:hAnsi="Cambria Math"/>
                <w:kern w:val="0"/>
              </w:rPr>
              <m:t>η</m:t>
            </m:r>
            <m:ctrlPr>
              <w:rPr>
                <w:rFonts w:ascii="Cambria Math" w:hAnsi="Cambria Math"/>
                <w:i/>
                <w:kern w:val="0"/>
              </w:rPr>
            </m:ctrlPr>
          </m:e>
          <m:sub>
            <m:r>
              <m:rPr/>
              <w:rPr>
                <w:rFonts w:ascii="Cambria Math" w:hAnsi="Cambria Math"/>
                <w:kern w:val="0"/>
              </w:rPr>
              <m:t>μ</m:t>
            </m:r>
            <m:ctrlPr>
              <w:rPr>
                <w:rFonts w:ascii="Cambria Math" w:hAnsi="Cambria Math"/>
                <w:i/>
                <w:kern w:val="0"/>
              </w:rPr>
            </m:ctrlPr>
          </m:sub>
        </m:sSub>
      </m:oMath>
      <w:r>
        <w:t>——</w:t>
      </w:r>
      <w:r>
        <w:rPr>
          <w:kern w:val="0"/>
        </w:rPr>
        <w:t>振动位移调整系数；</w:t>
      </w:r>
    </w:p>
    <w:p w14:paraId="5A98D781">
      <w:pPr>
        <w:spacing w:before="156"/>
        <w:ind w:left="780" w:firstLine="480"/>
        <w:rPr>
          <w:kern w:val="0"/>
        </w:rPr>
      </w:pPr>
      <m:oMath>
        <m:sSub>
          <m:sSubPr>
            <m:ctrlPr>
              <w:rPr>
                <w:rFonts w:ascii="Cambria Math" w:hAnsi="Cambria Math"/>
                <w:i/>
                <w:kern w:val="0"/>
              </w:rPr>
            </m:ctrlPr>
          </m:sSubPr>
          <m:e>
            <m:r>
              <m:rPr/>
              <w:rPr>
                <w:rFonts w:ascii="Cambria Math" w:hAnsi="Cambria Math"/>
                <w:kern w:val="0"/>
              </w:rPr>
              <m:t>η</m:t>
            </m:r>
            <m:ctrlPr>
              <w:rPr>
                <w:rFonts w:ascii="Cambria Math" w:hAnsi="Cambria Math"/>
                <w:i/>
                <w:kern w:val="0"/>
              </w:rPr>
            </m:ctrlPr>
          </m:e>
          <m:sub>
            <m:r>
              <m:rPr/>
              <w:rPr>
                <w:rFonts w:ascii="Cambria Math" w:hAnsi="Cambria Math"/>
                <w:kern w:val="0"/>
              </w:rPr>
              <m:t>λ</m:t>
            </m:r>
            <m:ctrlPr>
              <w:rPr>
                <w:rFonts w:ascii="Cambria Math" w:hAnsi="Cambria Math"/>
                <w:i/>
                <w:kern w:val="0"/>
              </w:rPr>
            </m:ctrlPr>
          </m:sub>
        </m:sSub>
      </m:oMath>
      <w:r>
        <w:t>——</w:t>
      </w:r>
      <w:r>
        <w:rPr>
          <w:kern w:val="0"/>
        </w:rPr>
        <w:t>频率调整系数；</w:t>
      </w:r>
    </w:p>
    <w:p w14:paraId="34905937">
      <w:pPr>
        <w:spacing w:before="156"/>
        <w:ind w:left="780" w:firstLine="480"/>
        <w:rPr>
          <w:kern w:val="0"/>
        </w:rPr>
      </w:pPr>
      <m:oMath>
        <m:sSub>
          <m:sSubPr>
            <m:ctrlPr>
              <w:rPr>
                <w:rFonts w:ascii="Cambria Math" w:hAnsi="Cambria Math"/>
                <w:i/>
                <w:kern w:val="0"/>
              </w:rPr>
            </m:ctrlPr>
          </m:sSubPr>
          <m:e>
            <m:r>
              <m:rPr/>
              <w:rPr>
                <w:rFonts w:ascii="Cambria Math" w:hAnsi="Cambria Math"/>
                <w:kern w:val="0"/>
              </w:rPr>
              <m:t>K</m:t>
            </m:r>
            <m:ctrlPr>
              <w:rPr>
                <w:rFonts w:ascii="Cambria Math" w:hAnsi="Cambria Math"/>
                <w:i/>
                <w:kern w:val="0"/>
              </w:rPr>
            </m:ctrlPr>
          </m:e>
          <m:sub>
            <m:r>
              <m:rPr>
                <m:sty m:val="p"/>
              </m:rPr>
              <w:rPr>
                <w:rFonts w:ascii="Cambria Math" w:hAnsi="Cambria Math"/>
                <w:kern w:val="0"/>
              </w:rPr>
              <m:t>z</m:t>
            </m:r>
            <m:ctrlPr>
              <w:rPr>
                <w:rFonts w:ascii="Cambria Math" w:hAnsi="Cambria Math"/>
                <w:i/>
                <w:kern w:val="0"/>
              </w:rPr>
            </m:ctrlPr>
          </m:sub>
        </m:sSub>
      </m:oMath>
      <w:r>
        <w:t>——天然地基抗压刚度，当为桩基时采用</w:t>
      </w:r>
      <m:oMath>
        <m:sSub>
          <m:sSubPr>
            <m:ctrlPr>
              <w:rPr>
                <w:rFonts w:ascii="Cambria Math" w:hAnsi="Cambria Math"/>
                <w:i/>
                <w:kern w:val="0"/>
              </w:rPr>
            </m:ctrlPr>
          </m:sSubPr>
          <m:e>
            <m:r>
              <m:rPr/>
              <w:rPr>
                <w:rFonts w:ascii="Cambria Math" w:hAnsi="Cambria Math"/>
                <w:kern w:val="0"/>
              </w:rPr>
              <m:t>K</m:t>
            </m:r>
            <m:ctrlPr>
              <w:rPr>
                <w:rFonts w:ascii="Cambria Math" w:hAnsi="Cambria Math"/>
                <w:i/>
                <w:kern w:val="0"/>
              </w:rPr>
            </m:ctrlPr>
          </m:e>
          <m:sub>
            <m:r>
              <m:rPr>
                <m:sty m:val="p"/>
              </m:rPr>
              <w:rPr>
                <w:rFonts w:hint="eastAsia" w:ascii="Cambria Math" w:hAnsi="Cambria Math"/>
                <w:kern w:val="0"/>
              </w:rPr>
              <m:t>p</m:t>
            </m:r>
            <m:r>
              <m:rPr>
                <m:sty m:val="p"/>
              </m:rPr>
              <w:rPr>
                <w:rFonts w:ascii="Cambria Math" w:hAnsi="Cambria Math"/>
                <w:kern w:val="0"/>
              </w:rPr>
              <m:t>z</m:t>
            </m:r>
            <m:ctrlPr>
              <w:rPr>
                <w:rFonts w:ascii="Cambria Math" w:hAnsi="Cambria Math"/>
                <w:i/>
                <w:kern w:val="0"/>
              </w:rPr>
            </m:ctrlPr>
          </m:sub>
        </m:sSub>
      </m:oMath>
      <w:r>
        <w:rPr>
          <w:kern w:val="0"/>
        </w:rPr>
        <w:t>；</w:t>
      </w:r>
    </w:p>
    <w:p w14:paraId="20BB554B">
      <w:pPr>
        <w:spacing w:before="156"/>
        <w:ind w:left="780" w:firstLine="480"/>
        <w:rPr>
          <w:kern w:val="0"/>
        </w:rPr>
      </w:pPr>
      <m:oMath>
        <m:r>
          <m:rPr/>
          <w:rPr>
            <w:rFonts w:hint="eastAsia" w:ascii="Cambria Math" w:hAnsi="Cambria Math"/>
            <w:kern w:val="0"/>
          </w:rPr>
          <m:t>m</m:t>
        </m:r>
      </m:oMath>
      <w:r>
        <w:t>——</w:t>
      </w:r>
      <w:r>
        <w:rPr>
          <w:kern w:val="0"/>
        </w:rPr>
        <w:t>基础、砧座、锤架及基础上回填土的总</w:t>
      </w:r>
      <w:r>
        <w:rPr>
          <w:rFonts w:hint="eastAsia"/>
          <w:kern w:val="0"/>
        </w:rPr>
        <w:t>质量</w:t>
      </w:r>
      <w:r>
        <w:rPr>
          <w:kern w:val="0"/>
        </w:rPr>
        <w:t>(</w:t>
      </w:r>
      <w:r>
        <w:rPr>
          <w:rFonts w:hint="eastAsia"/>
          <w:kern w:val="0"/>
        </w:rPr>
        <w:t>t</w:t>
      </w:r>
      <w:r>
        <w:rPr>
          <w:kern w:val="0"/>
        </w:rPr>
        <w:t>)；当为桩基时，应包括桩和桩间土参加振动的当量重量，其值可按本标准第</w:t>
      </w:r>
      <w:r>
        <w:rPr>
          <w:rFonts w:hint="eastAsia"/>
          <w:kern w:val="0"/>
        </w:rPr>
        <w:t>4.3节</w:t>
      </w:r>
      <w:r>
        <w:rPr>
          <w:kern w:val="0"/>
        </w:rPr>
        <w:t>的规定进行换算；</w:t>
      </w:r>
    </w:p>
    <w:p w14:paraId="4DC3EE92">
      <w:pPr>
        <w:spacing w:before="156"/>
        <w:ind w:left="780" w:firstLine="480"/>
        <w:rPr>
          <w:kern w:val="0"/>
        </w:rPr>
      </w:pPr>
      <m:oMath>
        <m:sSub>
          <m:sSubPr>
            <m:ctrlPr>
              <w:rPr>
                <w:rFonts w:ascii="Cambria Math" w:hAnsi="Cambria Math"/>
                <w:i/>
                <w:kern w:val="0"/>
              </w:rPr>
            </m:ctrlPr>
          </m:sSubPr>
          <m:e>
            <m:r>
              <m:rPr/>
              <w:rPr>
                <w:rFonts w:hint="eastAsia" w:ascii="Cambria Math" w:hAnsi="Cambria Math"/>
                <w:kern w:val="0"/>
              </w:rPr>
              <m:t>m</m:t>
            </m:r>
            <m:ctrlPr>
              <w:rPr>
                <w:rFonts w:ascii="Cambria Math" w:hAnsi="Cambria Math"/>
                <w:i/>
                <w:kern w:val="0"/>
              </w:rPr>
            </m:ctrlPr>
          </m:e>
          <m:sub>
            <m:r>
              <m:rPr/>
              <w:rPr>
                <w:rFonts w:ascii="Cambria Math" w:hAnsi="Cambria Math"/>
                <w:kern w:val="0"/>
              </w:rPr>
              <m:t>0</m:t>
            </m:r>
            <m:ctrlPr>
              <w:rPr>
                <w:rFonts w:ascii="Cambria Math" w:hAnsi="Cambria Math"/>
                <w:i/>
                <w:kern w:val="0"/>
              </w:rPr>
            </m:ctrlPr>
          </m:sub>
        </m:sSub>
      </m:oMath>
      <w:r>
        <w:t>——</w:t>
      </w:r>
      <w:r>
        <w:rPr>
          <w:rFonts w:hint="eastAsia"/>
        </w:rPr>
        <w:t>锤头</w:t>
      </w:r>
      <w:r>
        <w:rPr>
          <w:kern w:val="0"/>
        </w:rPr>
        <w:t>落下部分的实际</w:t>
      </w:r>
      <w:r>
        <w:rPr>
          <w:rFonts w:hint="eastAsia"/>
          <w:kern w:val="0"/>
        </w:rPr>
        <w:t>质量</w:t>
      </w:r>
      <w:r>
        <w:rPr>
          <w:kern w:val="0"/>
        </w:rPr>
        <w:t>(</w:t>
      </w:r>
      <w:r>
        <w:rPr>
          <w:rFonts w:hint="eastAsia"/>
          <w:kern w:val="0"/>
        </w:rPr>
        <w:t>t</w:t>
      </w:r>
      <w:r>
        <w:rPr>
          <w:kern w:val="0"/>
        </w:rPr>
        <w:t>)；</w:t>
      </w:r>
    </w:p>
    <w:p w14:paraId="30ECCAE1">
      <w:pPr>
        <w:spacing w:before="156"/>
        <w:ind w:left="780" w:firstLine="480"/>
        <w:rPr>
          <w:kern w:val="0"/>
        </w:rPr>
      </w:pPr>
      <m:oMath>
        <m:sSub>
          <m:sSubPr>
            <m:ctrlPr>
              <w:rPr>
                <w:rFonts w:ascii="Cambria Math" w:hAnsi="Cambria Math"/>
                <w:i/>
                <w:kern w:val="0"/>
              </w:rPr>
            </m:ctrlPr>
          </m:sSubPr>
          <m:e>
            <m:r>
              <m:rPr/>
              <w:rPr>
                <w:rFonts w:ascii="Cambria Math" w:hAnsi="Cambria Math"/>
                <w:kern w:val="0"/>
              </w:rPr>
              <m:t>v</m:t>
            </m:r>
            <m:ctrlPr>
              <w:rPr>
                <w:rFonts w:ascii="Cambria Math" w:hAnsi="Cambria Math"/>
                <w:i/>
                <w:kern w:val="0"/>
              </w:rPr>
            </m:ctrlPr>
          </m:e>
          <m:sub>
            <m:r>
              <m:rPr>
                <m:sty m:val="p"/>
              </m:rPr>
              <w:rPr>
                <w:rFonts w:ascii="Cambria Math" w:hAnsi="Cambria Math"/>
                <w:kern w:val="0"/>
              </w:rPr>
              <m:t>o</m:t>
            </m:r>
            <m:ctrlPr>
              <w:rPr>
                <w:rFonts w:ascii="Cambria Math" w:hAnsi="Cambria Math"/>
                <w:i/>
                <w:kern w:val="0"/>
              </w:rPr>
            </m:ctrlPr>
          </m:sub>
        </m:sSub>
      </m:oMath>
      <w:r>
        <w:t>——</w:t>
      </w:r>
      <w:r>
        <w:rPr>
          <w:kern w:val="0"/>
        </w:rPr>
        <w:t>落下部分的最大速度(m/s)</w:t>
      </w:r>
      <w:r>
        <w:rPr>
          <w:rFonts w:hint="eastAsia"/>
          <w:kern w:val="0"/>
        </w:rPr>
        <w:t>；</w:t>
      </w:r>
    </w:p>
    <w:p w14:paraId="40014809">
      <w:pPr>
        <w:spacing w:before="156"/>
        <w:ind w:left="780" w:firstLine="480"/>
        <w:rPr>
          <w:kern w:val="0"/>
        </w:rPr>
      </w:pPr>
      <w:r>
        <w:rPr>
          <w:rFonts w:hint="eastAsia"/>
          <w:kern w:val="0"/>
        </w:rPr>
        <w:t>e——回弹系数。</w:t>
      </w:r>
    </w:p>
    <w:p w14:paraId="3622CDF6">
      <w:pPr>
        <w:spacing w:before="156"/>
        <w:ind w:firstLine="480"/>
      </w:pPr>
      <w:r>
        <w:rPr>
          <w:rFonts w:hint="eastAsia"/>
        </w:rPr>
        <w:t>8</w:t>
      </w:r>
      <w:r>
        <w:t>.2.</w:t>
      </w:r>
      <w:r>
        <w:rPr>
          <w:rFonts w:hint="eastAsia"/>
        </w:rPr>
        <w:t>2根据锻锤类型和工件材料特性，回弹系数e宜按下式取值。</w:t>
      </w:r>
    </w:p>
    <w:p w14:paraId="12A63951">
      <w:pPr>
        <w:wordWrap w:val="0"/>
        <w:spacing w:before="156"/>
        <w:ind w:firstLine="480"/>
        <w:jc w:val="right"/>
      </w:pPr>
      <m:oMath>
        <m:r>
          <m:rPr/>
          <w:rPr>
            <w:rFonts w:hint="eastAsia" w:ascii="Cambria Math" w:hAnsi="Cambria Math"/>
          </w:rPr>
          <m:t>e</m:t>
        </m:r>
        <m:r>
          <m:rP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w:rPr>
                    <w:rFonts w:ascii="Cambria Math" w:hAnsi="Cambria Math"/>
                  </w:rPr>
                  <m:t xml:space="preserve">0.58  </m:t>
                </m:r>
                <m:d>
                  <m:dPr>
                    <m:ctrlPr>
                      <w:rPr>
                        <w:rFonts w:ascii="Cambria Math" w:hAnsi="Cambria Math"/>
                        <w:i/>
                      </w:rPr>
                    </m:ctrlPr>
                  </m:dPr>
                  <m:e>
                    <m:r>
                      <m:rPr>
                        <m:sty m:val="p"/>
                      </m:rPr>
                      <w:rPr>
                        <w:rFonts w:hint="eastAsia" w:ascii="Cambria Math" w:hAnsi="Cambria Math"/>
                      </w:rPr>
                      <m:t>模</m:t>
                    </m:r>
                    <m:r>
                      <m:rPr>
                        <m:sty m:val="p"/>
                      </m:rPr>
                      <w:rPr>
                        <w:rFonts w:ascii="Cambria Math" w:hAnsi="Cambria Math"/>
                      </w:rPr>
                      <m:t xml:space="preserve"> </m:t>
                    </m:r>
                    <m:r>
                      <m:rPr>
                        <m:sty m:val="p"/>
                      </m:rPr>
                      <w:rPr>
                        <w:rFonts w:hint="eastAsia" w:ascii="Cambria Math" w:hAnsi="Cambria Math"/>
                      </w:rPr>
                      <m:t>锻</m:t>
                    </m:r>
                    <m:ctrlPr>
                      <w:rPr>
                        <w:rFonts w:ascii="Cambria Math" w:hAnsi="Cambria Math"/>
                        <w:i/>
                      </w:rPr>
                    </m:ctrlPr>
                  </m:e>
                </m:d>
                <m:ctrlPr>
                  <w:rPr>
                    <w:rFonts w:ascii="Cambria Math" w:hAnsi="Cambria Math"/>
                    <w:i/>
                  </w:rPr>
                </m:ctrlPr>
              </m:e>
              <m:e>
                <m:r>
                  <m:rPr/>
                  <w:rPr>
                    <w:rFonts w:ascii="Cambria Math" w:hAnsi="Cambria Math"/>
                  </w:rPr>
                  <m:t>0.</m:t>
                </m:r>
                <m:r>
                  <m:rPr/>
                  <w:rPr>
                    <w:rFonts w:hint="eastAsia" w:ascii="Cambria Math" w:hAnsi="Cambria Math"/>
                  </w:rPr>
                  <m:t>26</m:t>
                </m:r>
                <m:r>
                  <m:rPr/>
                  <w:rPr>
                    <w:rFonts w:ascii="Cambria Math" w:hAnsi="Cambria Math"/>
                  </w:rPr>
                  <m:t xml:space="preserve"> </m:t>
                </m:r>
                <m:d>
                  <m:dPr>
                    <m:ctrlPr>
                      <w:rPr>
                        <w:rFonts w:ascii="Cambria Math" w:hAnsi="Cambria Math"/>
                        <w:i/>
                      </w:rPr>
                    </m:ctrlPr>
                  </m:dPr>
                  <m:e>
                    <m:r>
                      <m:rPr>
                        <m:sty m:val="p"/>
                      </m:rPr>
                      <w:rPr>
                        <w:rFonts w:hint="eastAsia" w:ascii="Cambria Math" w:hAnsi="Cambria Math"/>
                      </w:rPr>
                      <m:t>自由锻</m:t>
                    </m:r>
                    <m:ctrlPr>
                      <w:rPr>
                        <w:rFonts w:ascii="Cambria Math" w:hAnsi="Cambria Math"/>
                        <w:i/>
                      </w:rPr>
                    </m:ctrlPr>
                  </m:e>
                </m:d>
                <m:ctrlPr>
                  <w:rPr>
                    <w:rFonts w:ascii="Cambria Math" w:hAnsi="Cambria Math"/>
                    <w:i/>
                  </w:rPr>
                </m:ctrlPr>
              </m:e>
            </m:eqArr>
            <m:ctrlPr>
              <w:rPr>
                <w:rFonts w:ascii="Cambria Math" w:hAnsi="Cambria Math"/>
                <w:i/>
              </w:rPr>
            </m:ctrlPr>
          </m:e>
        </m:d>
      </m:oMath>
      <w:r>
        <w:rPr>
          <w:rFonts w:hint="eastAsia"/>
        </w:rPr>
        <w:t xml:space="preserve"> </w:t>
      </w:r>
      <w:r>
        <w:t xml:space="preserve">               </w:t>
      </w:r>
      <w:r>
        <w:rPr>
          <w:rFonts w:hint="eastAsia"/>
        </w:rPr>
        <w:t>（8.2.2）</w:t>
      </w:r>
    </w:p>
    <w:p w14:paraId="392A72C8">
      <w:pPr>
        <w:spacing w:before="156"/>
        <w:ind w:firstLine="480"/>
      </w:pPr>
      <w:r>
        <w:rPr>
          <w:rFonts w:hint="eastAsia"/>
        </w:rPr>
        <w:t>8.2.3</w:t>
      </w:r>
      <w:r>
        <w:t xml:space="preserve"> </w:t>
      </w:r>
      <w:r>
        <w:rPr>
          <w:rFonts w:hint="eastAsia"/>
        </w:rPr>
        <w:t>根据不同的锻锤类型，锤头打击瞬间的初速度，也就是</w:t>
      </w:r>
      <w:r>
        <w:t>锻锤落下部分的最大速度，可按下列</w:t>
      </w:r>
      <w:r>
        <w:rPr>
          <w:rFonts w:hint="eastAsia"/>
        </w:rPr>
        <w:t>公式进行计算</w:t>
      </w:r>
      <w:r>
        <w:t>：</w:t>
      </w:r>
    </w:p>
    <w:p w14:paraId="2C822F89">
      <w:pPr>
        <w:spacing w:before="156"/>
        <w:ind w:firstLine="480"/>
        <w:rPr>
          <w:rFonts w:cs="Times New Roman"/>
          <w:kern w:val="0"/>
          <w:szCs w:val="21"/>
        </w:rPr>
      </w:pPr>
      <w:r>
        <w:rPr>
          <w:rFonts w:cs="Times New Roman"/>
          <w:kern w:val="0"/>
          <w:szCs w:val="21"/>
        </w:rPr>
        <w:t>1对于单作用的自由下落锤，可按下式计算：</w:t>
      </w:r>
    </w:p>
    <w:p w14:paraId="19665C2F">
      <w:pPr>
        <w:wordWrap w:val="0"/>
        <w:spacing w:before="156"/>
        <w:ind w:firstLine="480"/>
        <w:jc w:val="right"/>
        <w:rPr>
          <w:rFonts w:cs="Times New Roman"/>
          <w:kern w:val="0"/>
          <w:szCs w:val="21"/>
        </w:rPr>
      </w:pPr>
      <m:oMath>
        <m:sSub>
          <m:sSubPr>
            <m:ctrlPr>
              <w:rPr>
                <w:rFonts w:ascii="Cambria Math" w:hAnsi="Cambria Math" w:cs="Times New Roman"/>
                <w:kern w:val="0"/>
                <w:szCs w:val="21"/>
              </w:rPr>
            </m:ctrlPr>
          </m:sSubPr>
          <m:e>
            <m:r>
              <m:rPr/>
              <w:rPr>
                <w:rFonts w:ascii="Cambria Math" w:hAnsi="Cambria Math" w:cs="Times New Roman"/>
                <w:kern w:val="0"/>
                <w:szCs w:val="21"/>
              </w:rPr>
              <m:t>v</m:t>
            </m:r>
            <m:ctrlPr>
              <w:rPr>
                <w:rFonts w:ascii="Cambria Math" w:hAnsi="Cambria Math" w:cs="Times New Roman"/>
                <w:kern w:val="0"/>
                <w:szCs w:val="21"/>
              </w:rPr>
            </m:ctrlPr>
          </m:e>
          <m:sub>
            <m:r>
              <m:rPr/>
              <w:rPr>
                <w:rFonts w:ascii="Cambria Math" w:hAnsi="Cambria Math" w:cs="Times New Roman"/>
                <w:kern w:val="0"/>
                <w:szCs w:val="21"/>
              </w:rPr>
              <m:t>o</m:t>
            </m:r>
            <m:ctrlPr>
              <w:rPr>
                <w:rFonts w:ascii="Cambria Math" w:hAnsi="Cambria Math" w:cs="Times New Roman"/>
                <w:kern w:val="0"/>
                <w:szCs w:val="21"/>
              </w:rPr>
            </m:ctrlPr>
          </m:sub>
        </m:sSub>
        <m:r>
          <m:rPr/>
          <w:rPr>
            <w:rFonts w:ascii="Cambria Math" w:hAnsi="Cambria Math" w:cs="Times New Roman"/>
            <w:kern w:val="0"/>
            <w:szCs w:val="21"/>
          </w:rPr>
          <m:t>=0.9</m:t>
        </m:r>
        <m:rad>
          <m:radPr>
            <m:degHide m:val="1"/>
            <m:ctrlPr>
              <w:rPr>
                <w:rFonts w:ascii="Cambria Math" w:hAnsi="Cambria Math" w:cs="Times New Roman"/>
                <w:i/>
                <w:kern w:val="0"/>
                <w:szCs w:val="21"/>
              </w:rPr>
            </m:ctrlPr>
          </m:radPr>
          <m:deg>
            <m:ctrlPr>
              <w:rPr>
                <w:rFonts w:ascii="Cambria Math" w:hAnsi="Cambria Math" w:cs="Times New Roman"/>
                <w:i/>
                <w:kern w:val="0"/>
                <w:szCs w:val="21"/>
              </w:rPr>
            </m:ctrlPr>
          </m:deg>
          <m:e>
            <m:r>
              <m:rPr/>
              <w:rPr>
                <w:rFonts w:ascii="Cambria Math" w:hAnsi="Cambria Math" w:cs="Times New Roman"/>
                <w:kern w:val="0"/>
                <w:szCs w:val="21"/>
              </w:rPr>
              <m:t>2gH</m:t>
            </m:r>
            <m:ctrlPr>
              <w:rPr>
                <w:rFonts w:ascii="Cambria Math" w:hAnsi="Cambria Math" w:cs="Times New Roman"/>
                <w:i/>
                <w:kern w:val="0"/>
                <w:szCs w:val="21"/>
              </w:rPr>
            </m:ctrlPr>
          </m:e>
        </m:rad>
      </m:oMath>
      <w:r>
        <w:rPr>
          <w:rFonts w:hint="eastAsia" w:cs="Times New Roman"/>
          <w:kern w:val="0"/>
          <w:szCs w:val="21"/>
        </w:rPr>
        <w:t xml:space="preserve"> </w:t>
      </w:r>
      <w:r>
        <w:rPr>
          <w:rFonts w:cs="Times New Roman"/>
          <w:kern w:val="0"/>
          <w:szCs w:val="21"/>
        </w:rPr>
        <w:t xml:space="preserve">              </w:t>
      </w:r>
      <w:r>
        <w:rPr>
          <w:rFonts w:hint="eastAsia"/>
        </w:rPr>
        <w:t>（8.2.3-1）</w:t>
      </w:r>
    </w:p>
    <w:p w14:paraId="06EB4082">
      <w:pPr>
        <w:spacing w:before="156"/>
        <w:ind w:firstLine="480"/>
        <w:rPr>
          <w:rFonts w:cs="Times New Roman"/>
          <w:kern w:val="0"/>
          <w:szCs w:val="21"/>
        </w:rPr>
      </w:pPr>
      <w:r>
        <w:rPr>
          <w:rFonts w:cs="Times New Roman"/>
          <w:kern w:val="0"/>
          <w:szCs w:val="21"/>
        </w:rPr>
        <w:t>2对于双作用锤，可按下式计算：</w:t>
      </w:r>
    </w:p>
    <w:p w14:paraId="0A166F01">
      <w:pPr>
        <w:spacing w:before="156"/>
        <w:ind w:firstLine="480"/>
        <w:jc w:val="right"/>
        <w:rPr>
          <w:rFonts w:cs="Times New Roman"/>
          <w:kern w:val="0"/>
          <w:szCs w:val="21"/>
        </w:rPr>
      </w:pPr>
      <m:oMath>
        <m:sSub>
          <m:sSubPr>
            <m:ctrlPr>
              <w:rPr>
                <w:rFonts w:ascii="Cambria Math" w:hAnsi="Cambria Math" w:cs="Times New Roman"/>
                <w:kern w:val="0"/>
                <w:szCs w:val="21"/>
              </w:rPr>
            </m:ctrlPr>
          </m:sSubPr>
          <m:e>
            <m:r>
              <m:rPr/>
              <w:rPr>
                <w:rFonts w:ascii="Cambria Math" w:hAnsi="Cambria Math" w:cs="Times New Roman"/>
                <w:kern w:val="0"/>
                <w:szCs w:val="21"/>
              </w:rPr>
              <m:t>v</m:t>
            </m:r>
            <m:ctrlPr>
              <w:rPr>
                <w:rFonts w:ascii="Cambria Math" w:hAnsi="Cambria Math" w:cs="Times New Roman"/>
                <w:kern w:val="0"/>
                <w:szCs w:val="21"/>
              </w:rPr>
            </m:ctrlPr>
          </m:e>
          <m:sub>
            <m:r>
              <m:rPr/>
              <w:rPr>
                <w:rFonts w:ascii="Cambria Math" w:hAnsi="Cambria Math" w:cs="Times New Roman"/>
                <w:kern w:val="0"/>
                <w:szCs w:val="21"/>
              </w:rPr>
              <m:t>o</m:t>
            </m:r>
            <m:ctrlPr>
              <w:rPr>
                <w:rFonts w:ascii="Cambria Math" w:hAnsi="Cambria Math" w:cs="Times New Roman"/>
                <w:kern w:val="0"/>
                <w:szCs w:val="21"/>
              </w:rPr>
            </m:ctrlPr>
          </m:sub>
        </m:sSub>
        <m:r>
          <m:rPr/>
          <w:rPr>
            <w:rFonts w:ascii="Cambria Math" w:hAnsi="Cambria Math" w:cs="Times New Roman"/>
            <w:kern w:val="0"/>
            <w:szCs w:val="21"/>
          </w:rPr>
          <m:t>=0.65</m:t>
        </m:r>
        <m:rad>
          <m:radPr>
            <m:degHide m:val="1"/>
            <m:ctrlPr>
              <w:rPr>
                <w:rFonts w:ascii="Cambria Math" w:hAnsi="Cambria Math" w:cs="Times New Roman"/>
                <w:i/>
                <w:kern w:val="0"/>
                <w:szCs w:val="21"/>
              </w:rPr>
            </m:ctrlPr>
          </m:radPr>
          <m:deg>
            <m:ctrlPr>
              <w:rPr>
                <w:rFonts w:ascii="Cambria Math" w:hAnsi="Cambria Math" w:cs="Times New Roman"/>
                <w:i/>
                <w:kern w:val="0"/>
                <w:szCs w:val="21"/>
              </w:rPr>
            </m:ctrlPr>
          </m:deg>
          <m:e>
            <m:r>
              <m:rPr/>
              <w:rPr>
                <w:rFonts w:ascii="Cambria Math" w:hAnsi="Cambria Math" w:cs="Times New Roman"/>
                <w:kern w:val="0"/>
                <w:szCs w:val="21"/>
              </w:rPr>
              <m:t>2gH</m:t>
            </m:r>
            <m:f>
              <m:fPr>
                <m:ctrlPr>
                  <w:rPr>
                    <w:rFonts w:ascii="Cambria Math" w:hAnsi="Cambria Math" w:cs="Times New Roman"/>
                    <w:i/>
                    <w:kern w:val="0"/>
                    <w:szCs w:val="21"/>
                  </w:rPr>
                </m:ctrlPr>
              </m:fPr>
              <m:num>
                <m:sSub>
                  <m:sSubPr>
                    <m:ctrlPr>
                      <w:rPr>
                        <w:rFonts w:ascii="Cambria Math" w:hAnsi="Cambria Math" w:cs="Times New Roman"/>
                        <w:i/>
                        <w:kern w:val="0"/>
                        <w:szCs w:val="21"/>
                      </w:rPr>
                    </m:ctrlPr>
                  </m:sSubPr>
                  <m:e>
                    <m:r>
                      <m:rPr/>
                      <w:rPr>
                        <w:rFonts w:ascii="Cambria Math" w:hAnsi="Cambria Math" w:cs="Times New Roman"/>
                        <w:kern w:val="0"/>
                        <w:szCs w:val="21"/>
                      </w:rPr>
                      <m:t>P</m:t>
                    </m:r>
                    <m:ctrlPr>
                      <w:rPr>
                        <w:rFonts w:ascii="Cambria Math" w:hAnsi="Cambria Math" w:cs="Times New Roman"/>
                        <w:i/>
                        <w:kern w:val="0"/>
                        <w:szCs w:val="21"/>
                      </w:rPr>
                    </m:ctrlPr>
                  </m:e>
                  <m:sub>
                    <m:r>
                      <m:rPr/>
                      <w:rPr>
                        <w:rFonts w:ascii="Cambria Math" w:hAnsi="Cambria Math" w:cs="Times New Roman"/>
                        <w:kern w:val="0"/>
                        <w:szCs w:val="21"/>
                      </w:rPr>
                      <m:t>o</m:t>
                    </m:r>
                    <m:ctrlPr>
                      <w:rPr>
                        <w:rFonts w:ascii="Cambria Math" w:hAnsi="Cambria Math" w:cs="Times New Roman"/>
                        <w:i/>
                        <w:kern w:val="0"/>
                        <w:szCs w:val="21"/>
                      </w:rPr>
                    </m:ctrlPr>
                  </m:sub>
                </m:sSub>
                <m:sSub>
                  <m:sSubPr>
                    <m:ctrlPr>
                      <w:rPr>
                        <w:rFonts w:ascii="Cambria Math" w:hAnsi="Cambria Math" w:cs="Times New Roman"/>
                        <w:i/>
                        <w:kern w:val="0"/>
                        <w:szCs w:val="21"/>
                      </w:rPr>
                    </m:ctrlPr>
                  </m:sSubPr>
                  <m:e>
                    <m:r>
                      <m:rPr/>
                      <w:rPr>
                        <w:rFonts w:ascii="Cambria Math" w:hAnsi="Cambria Math" w:cs="Times New Roman"/>
                        <w:kern w:val="0"/>
                        <w:szCs w:val="21"/>
                      </w:rPr>
                      <m:t>A</m:t>
                    </m:r>
                    <m:ctrlPr>
                      <w:rPr>
                        <w:rFonts w:ascii="Cambria Math" w:hAnsi="Cambria Math" w:cs="Times New Roman"/>
                        <w:i/>
                        <w:kern w:val="0"/>
                        <w:szCs w:val="21"/>
                      </w:rPr>
                    </m:ctrlPr>
                  </m:e>
                  <m:sub>
                    <m:r>
                      <m:rPr/>
                      <w:rPr>
                        <w:rFonts w:ascii="Cambria Math" w:hAnsi="Cambria Math" w:cs="Times New Roman"/>
                        <w:kern w:val="0"/>
                        <w:szCs w:val="21"/>
                      </w:rPr>
                      <m:t>o</m:t>
                    </m:r>
                    <m:ctrlPr>
                      <w:rPr>
                        <w:rFonts w:ascii="Cambria Math" w:hAnsi="Cambria Math" w:cs="Times New Roman"/>
                        <w:i/>
                        <w:kern w:val="0"/>
                        <w:szCs w:val="21"/>
                      </w:rPr>
                    </m:ctrlPr>
                  </m:sub>
                </m:sSub>
                <m:r>
                  <m:rPr/>
                  <w:rPr>
                    <w:rFonts w:ascii="Cambria Math" w:hAnsi="Cambria Math" w:cs="Times New Roman"/>
                    <w:kern w:val="0"/>
                    <w:szCs w:val="21"/>
                  </w:rPr>
                  <m:t>+</m:t>
                </m:r>
                <m:sSub>
                  <m:sSubPr>
                    <m:ctrlPr>
                      <w:rPr>
                        <w:rFonts w:ascii="Cambria Math" w:hAnsi="Cambria Math" w:cs="Times New Roman"/>
                        <w:i/>
                        <w:kern w:val="0"/>
                        <w:szCs w:val="21"/>
                      </w:rPr>
                    </m:ctrlPr>
                  </m:sSubPr>
                  <m:e>
                    <m:r>
                      <m:rPr/>
                      <w:rPr>
                        <w:rFonts w:ascii="Cambria Math" w:hAnsi="Cambria Math" w:cs="Times New Roman"/>
                        <w:kern w:val="0"/>
                        <w:szCs w:val="21"/>
                      </w:rPr>
                      <m:t>G</m:t>
                    </m:r>
                    <m:ctrlPr>
                      <w:rPr>
                        <w:rFonts w:ascii="Cambria Math" w:hAnsi="Cambria Math" w:cs="Times New Roman"/>
                        <w:i/>
                        <w:kern w:val="0"/>
                        <w:szCs w:val="21"/>
                      </w:rPr>
                    </m:ctrlPr>
                  </m:e>
                  <m:sub>
                    <m:r>
                      <m:rPr/>
                      <w:rPr>
                        <w:rFonts w:ascii="Cambria Math" w:hAnsi="Cambria Math" w:cs="Times New Roman"/>
                        <w:kern w:val="0"/>
                        <w:szCs w:val="21"/>
                      </w:rPr>
                      <m:t>o</m:t>
                    </m:r>
                    <m:ctrlPr>
                      <w:rPr>
                        <w:rFonts w:ascii="Cambria Math" w:hAnsi="Cambria Math" w:cs="Times New Roman"/>
                        <w:i/>
                        <w:kern w:val="0"/>
                        <w:szCs w:val="21"/>
                      </w:rPr>
                    </m:ctrlPr>
                  </m:sub>
                </m:sSub>
                <m:ctrlPr>
                  <w:rPr>
                    <w:rFonts w:ascii="Cambria Math" w:hAnsi="Cambria Math" w:cs="Times New Roman"/>
                    <w:i/>
                    <w:kern w:val="0"/>
                    <w:szCs w:val="21"/>
                  </w:rPr>
                </m:ctrlPr>
              </m:num>
              <m:den>
                <m:sSub>
                  <m:sSubPr>
                    <m:ctrlPr>
                      <w:rPr>
                        <w:rFonts w:ascii="Cambria Math" w:hAnsi="Cambria Math" w:cs="Times New Roman"/>
                        <w:i/>
                        <w:kern w:val="0"/>
                        <w:szCs w:val="21"/>
                      </w:rPr>
                    </m:ctrlPr>
                  </m:sSubPr>
                  <m:e>
                    <m:r>
                      <m:rPr/>
                      <w:rPr>
                        <w:rFonts w:ascii="Cambria Math" w:hAnsi="Cambria Math" w:cs="Times New Roman"/>
                        <w:kern w:val="0"/>
                        <w:szCs w:val="21"/>
                      </w:rPr>
                      <m:t>G</m:t>
                    </m:r>
                    <m:ctrlPr>
                      <w:rPr>
                        <w:rFonts w:ascii="Cambria Math" w:hAnsi="Cambria Math" w:cs="Times New Roman"/>
                        <w:i/>
                        <w:kern w:val="0"/>
                        <w:szCs w:val="21"/>
                      </w:rPr>
                    </m:ctrlPr>
                  </m:e>
                  <m:sub>
                    <m:r>
                      <m:rPr/>
                      <w:rPr>
                        <w:rFonts w:ascii="Cambria Math" w:hAnsi="Cambria Math" w:cs="Times New Roman"/>
                        <w:kern w:val="0"/>
                        <w:szCs w:val="21"/>
                      </w:rPr>
                      <m:t>o</m:t>
                    </m:r>
                    <m:ctrlPr>
                      <w:rPr>
                        <w:rFonts w:ascii="Cambria Math" w:hAnsi="Cambria Math" w:cs="Times New Roman"/>
                        <w:i/>
                        <w:kern w:val="0"/>
                        <w:szCs w:val="21"/>
                      </w:rPr>
                    </m:ctrlPr>
                  </m:sub>
                </m:sSub>
                <m:ctrlPr>
                  <w:rPr>
                    <w:rFonts w:ascii="Cambria Math" w:hAnsi="Cambria Math" w:cs="Times New Roman"/>
                    <w:i/>
                    <w:kern w:val="0"/>
                    <w:szCs w:val="21"/>
                  </w:rPr>
                </m:ctrlPr>
              </m:den>
            </m:f>
            <m:ctrlPr>
              <w:rPr>
                <w:rFonts w:ascii="Cambria Math" w:hAnsi="Cambria Math" w:cs="Times New Roman"/>
                <w:i/>
                <w:kern w:val="0"/>
                <w:szCs w:val="21"/>
              </w:rPr>
            </m:ctrlPr>
          </m:e>
        </m:rad>
      </m:oMath>
      <w:r>
        <w:rPr>
          <w:rFonts w:hint="eastAsia" w:cs="Times New Roman"/>
          <w:kern w:val="0"/>
          <w:szCs w:val="21"/>
        </w:rPr>
        <w:t xml:space="preserve"> </w:t>
      </w:r>
      <w:r>
        <w:rPr>
          <w:rFonts w:cs="Times New Roman"/>
          <w:kern w:val="0"/>
          <w:szCs w:val="21"/>
        </w:rPr>
        <w:t xml:space="preserve">              </w:t>
      </w:r>
      <w:r>
        <w:rPr>
          <w:rFonts w:hint="eastAsia"/>
        </w:rPr>
        <w:t>（8.2.3-2）</w:t>
      </w:r>
    </w:p>
    <w:p w14:paraId="19AD408C">
      <w:pPr>
        <w:spacing w:before="156"/>
        <w:ind w:firstLine="480"/>
        <w:rPr>
          <w:rFonts w:cs="Times New Roman"/>
          <w:kern w:val="0"/>
          <w:szCs w:val="21"/>
        </w:rPr>
      </w:pPr>
      <w:r>
        <w:rPr>
          <w:rFonts w:cs="Times New Roman"/>
          <w:kern w:val="0"/>
          <w:szCs w:val="21"/>
        </w:rPr>
        <w:t>3</w:t>
      </w:r>
      <w:r>
        <w:rPr>
          <w:rFonts w:hint="eastAsia" w:cs="Times New Roman"/>
          <w:kern w:val="0"/>
          <w:szCs w:val="21"/>
        </w:rPr>
        <w:t>当给出锻锤最大</w:t>
      </w:r>
      <w:r>
        <w:rPr>
          <w:rFonts w:cs="Times New Roman"/>
          <w:kern w:val="0"/>
          <w:szCs w:val="21"/>
        </w:rPr>
        <w:t>打击能量</w:t>
      </w:r>
      <w:r>
        <w:rPr>
          <w:rFonts w:hint="eastAsia" w:cs="Times New Roman"/>
          <w:kern w:val="0"/>
          <w:szCs w:val="21"/>
        </w:rPr>
        <w:t>时</w:t>
      </w:r>
      <w:r>
        <w:rPr>
          <w:rFonts w:cs="Times New Roman"/>
          <w:kern w:val="0"/>
          <w:szCs w:val="21"/>
        </w:rPr>
        <w:t>，可按下式计算：</w:t>
      </w:r>
    </w:p>
    <w:p w14:paraId="269203C4">
      <w:pPr>
        <w:spacing w:before="156"/>
        <w:ind w:firstLine="480"/>
        <w:jc w:val="right"/>
        <w:rPr>
          <w:rFonts w:cs="Times New Roman"/>
          <w:kern w:val="0"/>
          <w:szCs w:val="21"/>
        </w:rPr>
      </w:pPr>
      <m:oMath>
        <m:sSub>
          <m:sSubPr>
            <m:ctrlPr>
              <w:rPr>
                <w:rFonts w:ascii="Cambria Math" w:hAnsi="Cambria Math" w:cs="Times New Roman"/>
                <w:kern w:val="0"/>
                <w:szCs w:val="21"/>
              </w:rPr>
            </m:ctrlPr>
          </m:sSubPr>
          <m:e>
            <m:r>
              <m:rPr/>
              <w:rPr>
                <w:rFonts w:ascii="Cambria Math" w:hAnsi="Cambria Math" w:cs="Times New Roman"/>
                <w:kern w:val="0"/>
                <w:szCs w:val="21"/>
              </w:rPr>
              <m:t>v</m:t>
            </m:r>
            <m:ctrlPr>
              <w:rPr>
                <w:rFonts w:ascii="Cambria Math" w:hAnsi="Cambria Math" w:cs="Times New Roman"/>
                <w:kern w:val="0"/>
                <w:szCs w:val="21"/>
              </w:rPr>
            </m:ctrlPr>
          </m:e>
          <m:sub>
            <m:r>
              <m:rPr/>
              <w:rPr>
                <w:rFonts w:ascii="Cambria Math" w:hAnsi="Cambria Math" w:cs="Times New Roman"/>
                <w:kern w:val="0"/>
                <w:szCs w:val="21"/>
              </w:rPr>
              <m:t>0</m:t>
            </m:r>
            <m:ctrlPr>
              <w:rPr>
                <w:rFonts w:ascii="Cambria Math" w:hAnsi="Cambria Math" w:cs="Times New Roman"/>
                <w:kern w:val="0"/>
                <w:szCs w:val="21"/>
              </w:rPr>
            </m:ctrlPr>
          </m:sub>
        </m:sSub>
        <m:r>
          <m:rPr/>
          <w:rPr>
            <w:rFonts w:ascii="Cambria Math" w:hAnsi="Cambria Math" w:cs="Times New Roman"/>
            <w:kern w:val="0"/>
            <w:szCs w:val="21"/>
          </w:rPr>
          <m:t>=</m:t>
        </m:r>
        <m:rad>
          <m:radPr>
            <m:degHide m:val="1"/>
            <m:ctrlPr>
              <w:rPr>
                <w:rFonts w:ascii="Cambria Math" w:hAnsi="Cambria Math" w:cs="Times New Roman"/>
                <w:i/>
                <w:kern w:val="0"/>
                <w:szCs w:val="21"/>
              </w:rPr>
            </m:ctrlPr>
          </m:radPr>
          <m:deg>
            <m:ctrlPr>
              <w:rPr>
                <w:rFonts w:ascii="Cambria Math" w:hAnsi="Cambria Math" w:cs="Times New Roman"/>
                <w:i/>
                <w:kern w:val="0"/>
                <w:szCs w:val="21"/>
              </w:rPr>
            </m:ctrlPr>
          </m:deg>
          <m:e>
            <m:f>
              <m:fPr>
                <m:ctrlPr>
                  <w:rPr>
                    <w:rFonts w:ascii="Cambria Math" w:hAnsi="Cambria Math" w:cs="Times New Roman"/>
                    <w:i/>
                    <w:kern w:val="0"/>
                    <w:szCs w:val="21"/>
                  </w:rPr>
                </m:ctrlPr>
              </m:fPr>
              <m:num>
                <m:r>
                  <m:rPr/>
                  <w:rPr>
                    <w:rFonts w:ascii="Cambria Math" w:hAnsi="Cambria Math" w:cs="Times New Roman"/>
                    <w:kern w:val="0"/>
                    <w:szCs w:val="21"/>
                  </w:rPr>
                  <m:t>2.2g</m:t>
                </m:r>
                <m:sSub>
                  <m:sSubPr>
                    <m:ctrlPr>
                      <w:rPr>
                        <w:rFonts w:ascii="Cambria Math" w:hAnsi="Cambria Math" w:cs="Times New Roman"/>
                        <w:i/>
                        <w:kern w:val="0"/>
                        <w:szCs w:val="21"/>
                      </w:rPr>
                    </m:ctrlPr>
                  </m:sSubPr>
                  <m:e>
                    <m:r>
                      <m:rPr/>
                      <w:rPr>
                        <w:rFonts w:ascii="Cambria Math" w:hAnsi="Cambria Math" w:cs="Times New Roman"/>
                        <w:kern w:val="0"/>
                        <w:szCs w:val="21"/>
                      </w:rPr>
                      <m:t>E</m:t>
                    </m:r>
                    <m:ctrlPr>
                      <w:rPr>
                        <w:rFonts w:ascii="Cambria Math" w:hAnsi="Cambria Math" w:cs="Times New Roman"/>
                        <w:i/>
                        <w:kern w:val="0"/>
                        <w:szCs w:val="21"/>
                      </w:rPr>
                    </m:ctrlPr>
                  </m:e>
                  <m:sub>
                    <m:r>
                      <m:rPr/>
                      <w:rPr>
                        <w:rFonts w:ascii="Cambria Math" w:hAnsi="Cambria Math" w:cs="Times New Roman"/>
                        <w:kern w:val="0"/>
                        <w:szCs w:val="21"/>
                      </w:rPr>
                      <m:t>0</m:t>
                    </m:r>
                    <m:ctrlPr>
                      <w:rPr>
                        <w:rFonts w:ascii="Cambria Math" w:hAnsi="Cambria Math" w:cs="Times New Roman"/>
                        <w:i/>
                        <w:kern w:val="0"/>
                        <w:szCs w:val="21"/>
                      </w:rPr>
                    </m:ctrlPr>
                  </m:sub>
                </m:sSub>
                <m:ctrlPr>
                  <w:rPr>
                    <w:rFonts w:ascii="Cambria Math" w:hAnsi="Cambria Math" w:cs="Times New Roman"/>
                    <w:i/>
                    <w:kern w:val="0"/>
                    <w:szCs w:val="21"/>
                  </w:rPr>
                </m:ctrlPr>
              </m:num>
              <m:den>
                <m:sSub>
                  <m:sSubPr>
                    <m:ctrlPr>
                      <w:rPr>
                        <w:rFonts w:ascii="Cambria Math" w:hAnsi="Cambria Math" w:cs="Times New Roman"/>
                        <w:i/>
                        <w:kern w:val="0"/>
                        <w:szCs w:val="21"/>
                      </w:rPr>
                    </m:ctrlPr>
                  </m:sSubPr>
                  <m:e>
                    <m:r>
                      <m:rPr/>
                      <w:rPr>
                        <w:rFonts w:ascii="Cambria Math" w:hAnsi="Cambria Math" w:cs="Times New Roman"/>
                        <w:kern w:val="0"/>
                        <w:szCs w:val="21"/>
                      </w:rPr>
                      <m:t>G</m:t>
                    </m:r>
                    <m:ctrlPr>
                      <w:rPr>
                        <w:rFonts w:ascii="Cambria Math" w:hAnsi="Cambria Math" w:cs="Times New Roman"/>
                        <w:i/>
                        <w:kern w:val="0"/>
                        <w:szCs w:val="21"/>
                      </w:rPr>
                    </m:ctrlPr>
                  </m:e>
                  <m:sub>
                    <m:r>
                      <m:rPr/>
                      <w:rPr>
                        <w:rFonts w:ascii="Cambria Math" w:hAnsi="Cambria Math" w:cs="Times New Roman"/>
                        <w:kern w:val="0"/>
                        <w:szCs w:val="21"/>
                      </w:rPr>
                      <m:t>0</m:t>
                    </m:r>
                    <m:ctrlPr>
                      <w:rPr>
                        <w:rFonts w:ascii="Cambria Math" w:hAnsi="Cambria Math" w:cs="Times New Roman"/>
                        <w:i/>
                        <w:kern w:val="0"/>
                        <w:szCs w:val="21"/>
                      </w:rPr>
                    </m:ctrlPr>
                  </m:sub>
                </m:sSub>
                <m:ctrlPr>
                  <w:rPr>
                    <w:rFonts w:ascii="Cambria Math" w:hAnsi="Cambria Math" w:cs="Times New Roman"/>
                    <w:i/>
                    <w:kern w:val="0"/>
                    <w:szCs w:val="21"/>
                  </w:rPr>
                </m:ctrlPr>
              </m:den>
            </m:f>
            <m:ctrlPr>
              <w:rPr>
                <w:rFonts w:ascii="Cambria Math" w:hAnsi="Cambria Math" w:cs="Times New Roman"/>
                <w:i/>
                <w:kern w:val="0"/>
                <w:szCs w:val="21"/>
              </w:rPr>
            </m:ctrlPr>
          </m:e>
        </m:rad>
        <m:r>
          <m:rPr/>
          <w:rPr>
            <w:rFonts w:ascii="Cambria Math" w:hAnsi="Cambria Math" w:cs="Times New Roman"/>
            <w:kern w:val="0"/>
            <w:szCs w:val="21"/>
          </w:rPr>
          <m:t>=</m:t>
        </m:r>
        <m:rad>
          <m:radPr>
            <m:degHide m:val="1"/>
            <m:ctrlPr>
              <w:rPr>
                <w:rFonts w:ascii="Cambria Math" w:hAnsi="Cambria Math" w:cs="Times New Roman"/>
                <w:i/>
                <w:kern w:val="0"/>
                <w:szCs w:val="21"/>
              </w:rPr>
            </m:ctrlPr>
          </m:radPr>
          <m:deg>
            <m:ctrlPr>
              <w:rPr>
                <w:rFonts w:ascii="Cambria Math" w:hAnsi="Cambria Math" w:cs="Times New Roman"/>
                <w:i/>
                <w:kern w:val="0"/>
                <w:szCs w:val="21"/>
              </w:rPr>
            </m:ctrlPr>
          </m:deg>
          <m:e>
            <m:f>
              <m:fPr>
                <m:ctrlPr>
                  <w:rPr>
                    <w:rFonts w:ascii="Cambria Math" w:hAnsi="Cambria Math" w:cs="Times New Roman"/>
                    <w:i/>
                    <w:kern w:val="0"/>
                    <w:szCs w:val="21"/>
                  </w:rPr>
                </m:ctrlPr>
              </m:fPr>
              <m:num>
                <m:r>
                  <m:rPr/>
                  <w:rPr>
                    <w:rFonts w:ascii="Cambria Math" w:hAnsi="Cambria Math" w:cs="Times New Roman"/>
                    <w:kern w:val="0"/>
                    <w:szCs w:val="21"/>
                  </w:rPr>
                  <m:t>2.2</m:t>
                </m:r>
                <m:sSub>
                  <m:sSubPr>
                    <m:ctrlPr>
                      <w:rPr>
                        <w:rFonts w:ascii="Cambria Math" w:hAnsi="Cambria Math" w:cs="Times New Roman"/>
                        <w:i/>
                        <w:kern w:val="0"/>
                        <w:szCs w:val="21"/>
                      </w:rPr>
                    </m:ctrlPr>
                  </m:sSubPr>
                  <m:e>
                    <m:r>
                      <m:rPr/>
                      <w:rPr>
                        <w:rFonts w:ascii="Cambria Math" w:hAnsi="Cambria Math" w:cs="Times New Roman"/>
                        <w:kern w:val="0"/>
                        <w:szCs w:val="21"/>
                      </w:rPr>
                      <m:t>E</m:t>
                    </m:r>
                    <m:ctrlPr>
                      <w:rPr>
                        <w:rFonts w:ascii="Cambria Math" w:hAnsi="Cambria Math" w:cs="Times New Roman"/>
                        <w:i/>
                        <w:kern w:val="0"/>
                        <w:szCs w:val="21"/>
                      </w:rPr>
                    </m:ctrlPr>
                  </m:e>
                  <m:sub>
                    <m:r>
                      <m:rPr/>
                      <w:rPr>
                        <w:rFonts w:ascii="Cambria Math" w:hAnsi="Cambria Math" w:cs="Times New Roman"/>
                        <w:kern w:val="0"/>
                        <w:szCs w:val="21"/>
                      </w:rPr>
                      <m:t>0</m:t>
                    </m:r>
                    <m:ctrlPr>
                      <w:rPr>
                        <w:rFonts w:ascii="Cambria Math" w:hAnsi="Cambria Math" w:cs="Times New Roman"/>
                        <w:i/>
                        <w:kern w:val="0"/>
                        <w:szCs w:val="21"/>
                      </w:rPr>
                    </m:ctrlPr>
                  </m:sub>
                </m:sSub>
                <m:ctrlPr>
                  <w:rPr>
                    <w:rFonts w:ascii="Cambria Math" w:hAnsi="Cambria Math" w:cs="Times New Roman"/>
                    <w:i/>
                    <w:kern w:val="0"/>
                    <w:szCs w:val="21"/>
                  </w:rPr>
                </m:ctrlPr>
              </m:num>
              <m:den>
                <m:sSub>
                  <m:sSubPr>
                    <m:ctrlPr>
                      <w:rPr>
                        <w:rFonts w:ascii="Cambria Math" w:hAnsi="Cambria Math" w:cs="Times New Roman"/>
                        <w:i/>
                        <w:kern w:val="0"/>
                        <w:szCs w:val="21"/>
                      </w:rPr>
                    </m:ctrlPr>
                  </m:sSubPr>
                  <m:e>
                    <m:r>
                      <m:rPr/>
                      <w:rPr>
                        <w:rFonts w:ascii="Cambria Math" w:hAnsi="Cambria Math" w:cs="Times New Roman"/>
                        <w:kern w:val="0"/>
                        <w:szCs w:val="21"/>
                      </w:rPr>
                      <m:t>m</m:t>
                    </m:r>
                    <m:ctrlPr>
                      <w:rPr>
                        <w:rFonts w:ascii="Cambria Math" w:hAnsi="Cambria Math" w:cs="Times New Roman"/>
                        <w:i/>
                        <w:kern w:val="0"/>
                        <w:szCs w:val="21"/>
                      </w:rPr>
                    </m:ctrlPr>
                  </m:e>
                  <m:sub>
                    <m:r>
                      <m:rPr/>
                      <w:rPr>
                        <w:rFonts w:ascii="Cambria Math" w:hAnsi="Cambria Math" w:cs="Times New Roman"/>
                        <w:kern w:val="0"/>
                        <w:szCs w:val="21"/>
                      </w:rPr>
                      <m:t>0</m:t>
                    </m:r>
                    <m:ctrlPr>
                      <w:rPr>
                        <w:rFonts w:ascii="Cambria Math" w:hAnsi="Cambria Math" w:cs="Times New Roman"/>
                        <w:i/>
                        <w:kern w:val="0"/>
                        <w:szCs w:val="21"/>
                      </w:rPr>
                    </m:ctrlPr>
                  </m:sub>
                </m:sSub>
                <m:ctrlPr>
                  <w:rPr>
                    <w:rFonts w:ascii="Cambria Math" w:hAnsi="Cambria Math" w:cs="Times New Roman"/>
                    <w:i/>
                    <w:kern w:val="0"/>
                    <w:szCs w:val="21"/>
                  </w:rPr>
                </m:ctrlPr>
              </m:den>
            </m:f>
            <m:ctrlPr>
              <w:rPr>
                <w:rFonts w:ascii="Cambria Math" w:hAnsi="Cambria Math" w:cs="Times New Roman"/>
                <w:i/>
                <w:kern w:val="0"/>
                <w:szCs w:val="21"/>
              </w:rPr>
            </m:ctrlPr>
          </m:e>
        </m:rad>
      </m:oMath>
      <w:r>
        <w:rPr>
          <w:rFonts w:hint="eastAsia" w:cs="Times New Roman"/>
          <w:kern w:val="0"/>
          <w:szCs w:val="21"/>
        </w:rPr>
        <w:t xml:space="preserve"> </w:t>
      </w:r>
      <w:r>
        <w:rPr>
          <w:rFonts w:cs="Times New Roman"/>
          <w:kern w:val="0"/>
          <w:szCs w:val="21"/>
        </w:rPr>
        <w:t xml:space="preserve">              </w:t>
      </w:r>
      <w:r>
        <w:rPr>
          <w:rFonts w:hint="eastAsia"/>
        </w:rPr>
        <w:t>（8.2.3-3）</w:t>
      </w:r>
    </w:p>
    <w:p w14:paraId="4AA745ED">
      <w:pPr>
        <w:spacing w:before="156"/>
        <w:ind w:firstLine="480"/>
        <w:rPr>
          <w:rFonts w:cs="Times New Roman"/>
          <w:kern w:val="0"/>
          <w:szCs w:val="21"/>
        </w:rPr>
      </w:pPr>
      <w:r>
        <w:rPr>
          <w:rFonts w:cs="Times New Roman"/>
          <w:kern w:val="0"/>
          <w:szCs w:val="21"/>
        </w:rPr>
        <w:t>式中：</w:t>
      </w:r>
      <m:oMath>
        <m:r>
          <m:rPr/>
          <w:rPr>
            <w:rFonts w:ascii="Cambria Math" w:hAnsi="Cambria Math" w:cs="Times New Roman"/>
            <w:kern w:val="0"/>
            <w:szCs w:val="21"/>
          </w:rPr>
          <m:t>H</m:t>
        </m:r>
      </m:oMath>
      <w:r>
        <w:rPr>
          <w:rFonts w:cs="Times New Roman"/>
          <w:szCs w:val="21"/>
        </w:rPr>
        <w:t>——</w:t>
      </w:r>
      <w:r>
        <w:rPr>
          <w:rFonts w:cs="Times New Roman"/>
          <w:kern w:val="0"/>
          <w:szCs w:val="21"/>
        </w:rPr>
        <w:t>落下部分最大行程(m)；</w:t>
      </w:r>
    </w:p>
    <w:p w14:paraId="0E327921">
      <w:pPr>
        <w:spacing w:before="156"/>
        <w:ind w:firstLine="480"/>
        <w:rPr>
          <w:rFonts w:cs="Times New Roman"/>
          <w:kern w:val="0"/>
          <w:szCs w:val="21"/>
        </w:rPr>
      </w:pPr>
      <m:oMath>
        <m:sSub>
          <m:sSubPr>
            <m:ctrlPr>
              <w:rPr>
                <w:rFonts w:ascii="Cambria Math" w:hAnsi="Cambria Math" w:cs="Times New Roman"/>
                <w:kern w:val="0"/>
                <w:szCs w:val="21"/>
              </w:rPr>
            </m:ctrlPr>
          </m:sSubPr>
          <m:e>
            <m:r>
              <m:rPr/>
              <w:rPr>
                <w:rFonts w:ascii="Cambria Math" w:hAnsi="Cambria Math" w:cs="Times New Roman"/>
                <w:kern w:val="0"/>
                <w:szCs w:val="21"/>
              </w:rPr>
              <m:t>P</m:t>
            </m:r>
            <m:ctrlPr>
              <w:rPr>
                <w:rFonts w:ascii="Cambria Math" w:hAnsi="Cambria Math" w:cs="Times New Roman"/>
                <w:kern w:val="0"/>
                <w:szCs w:val="21"/>
              </w:rPr>
            </m:ctrlPr>
          </m:e>
          <m:sub>
            <m:r>
              <m:rPr/>
              <w:rPr>
                <w:rFonts w:ascii="Cambria Math" w:hAnsi="Cambria Math" w:cs="Times New Roman"/>
                <w:kern w:val="0"/>
                <w:szCs w:val="21"/>
              </w:rPr>
              <m:t>0</m:t>
            </m:r>
            <m:ctrlPr>
              <w:rPr>
                <w:rFonts w:ascii="Cambria Math" w:hAnsi="Cambria Math" w:cs="Times New Roman"/>
                <w:kern w:val="0"/>
                <w:szCs w:val="21"/>
              </w:rPr>
            </m:ctrlPr>
          </m:sub>
        </m:sSub>
      </m:oMath>
      <w:r>
        <w:rPr>
          <w:rFonts w:cs="Times New Roman"/>
          <w:szCs w:val="21"/>
        </w:rPr>
        <w:t>——</w:t>
      </w:r>
      <w:r>
        <w:rPr>
          <w:rFonts w:cs="Times New Roman"/>
          <w:kern w:val="0"/>
          <w:szCs w:val="21"/>
        </w:rPr>
        <w:t>汽缸最大进气压力(kP</w:t>
      </w:r>
      <w:r>
        <w:rPr>
          <w:rFonts w:cs="Times New Roman"/>
          <w:kern w:val="0"/>
          <w:szCs w:val="21"/>
          <w:vertAlign w:val="subscript"/>
        </w:rPr>
        <w:t>a</w:t>
      </w:r>
      <w:r>
        <w:rPr>
          <w:rFonts w:cs="Times New Roman"/>
          <w:kern w:val="0"/>
          <w:szCs w:val="21"/>
        </w:rPr>
        <w:t>)；</w:t>
      </w:r>
    </w:p>
    <w:p w14:paraId="52FE81A8">
      <w:pPr>
        <w:spacing w:before="156"/>
        <w:ind w:firstLine="480"/>
        <w:rPr>
          <w:rFonts w:cs="Times New Roman"/>
          <w:kern w:val="0"/>
          <w:szCs w:val="21"/>
        </w:rPr>
      </w:pPr>
      <m:oMath>
        <m:sSub>
          <m:sSubPr>
            <m:ctrlPr>
              <w:rPr>
                <w:rFonts w:ascii="Cambria Math" w:hAnsi="Cambria Math" w:cs="Times New Roman"/>
                <w:i/>
                <w:kern w:val="0"/>
                <w:szCs w:val="21"/>
              </w:rPr>
            </m:ctrlPr>
          </m:sSubPr>
          <m:e>
            <m:r>
              <m:rPr/>
              <w:rPr>
                <w:rFonts w:ascii="Cambria Math" w:hAnsi="Cambria Math" w:cs="Times New Roman"/>
                <w:kern w:val="0"/>
                <w:szCs w:val="21"/>
              </w:rPr>
              <m:t>G</m:t>
            </m:r>
            <m:ctrlPr>
              <w:rPr>
                <w:rFonts w:ascii="Cambria Math" w:hAnsi="Cambria Math" w:cs="Times New Roman"/>
                <w:i/>
                <w:kern w:val="0"/>
                <w:szCs w:val="21"/>
              </w:rPr>
            </m:ctrlPr>
          </m:e>
          <m:sub>
            <m:r>
              <m:rPr/>
              <w:rPr>
                <w:rFonts w:ascii="Cambria Math" w:hAnsi="Cambria Math" w:cs="Times New Roman"/>
                <w:kern w:val="0"/>
                <w:szCs w:val="21"/>
              </w:rPr>
              <m:t>0</m:t>
            </m:r>
            <m:ctrlPr>
              <w:rPr>
                <w:rFonts w:ascii="Cambria Math" w:hAnsi="Cambria Math" w:cs="Times New Roman"/>
                <w:i/>
                <w:kern w:val="0"/>
                <w:szCs w:val="21"/>
              </w:rPr>
            </m:ctrlPr>
          </m:sub>
        </m:sSub>
      </m:oMath>
      <w:r>
        <w:rPr>
          <w:rFonts w:hint="eastAsia" w:cs="Times New Roman"/>
          <w:kern w:val="0"/>
          <w:szCs w:val="21"/>
        </w:rPr>
        <w:t>——锤头重量（kN），</w:t>
      </w:r>
      <m:oMath>
        <m:sSub>
          <m:sSubPr>
            <m:ctrlPr>
              <w:rPr>
                <w:rFonts w:ascii="Cambria Math" w:hAnsi="Cambria Math" w:cs="Times New Roman"/>
                <w:i/>
                <w:kern w:val="0"/>
                <w:szCs w:val="21"/>
              </w:rPr>
            </m:ctrlPr>
          </m:sSubPr>
          <m:e>
            <m:r>
              <m:rPr/>
              <w:rPr>
                <w:rFonts w:ascii="Cambria Math" w:hAnsi="Cambria Math" w:cs="Times New Roman"/>
                <w:kern w:val="0"/>
                <w:szCs w:val="21"/>
              </w:rPr>
              <m:t>G</m:t>
            </m:r>
            <m:ctrlPr>
              <w:rPr>
                <w:rFonts w:ascii="Cambria Math" w:hAnsi="Cambria Math" w:cs="Times New Roman"/>
                <w:i/>
                <w:kern w:val="0"/>
                <w:szCs w:val="21"/>
              </w:rPr>
            </m:ctrlPr>
          </m:e>
          <m:sub>
            <m:r>
              <m:rPr/>
              <w:rPr>
                <w:rFonts w:ascii="Cambria Math" w:hAnsi="Cambria Math" w:cs="Times New Roman"/>
                <w:kern w:val="0"/>
                <w:szCs w:val="21"/>
              </w:rPr>
              <m:t>0</m:t>
            </m:r>
            <m:ctrlPr>
              <w:rPr>
                <w:rFonts w:ascii="Cambria Math" w:hAnsi="Cambria Math" w:cs="Times New Roman"/>
                <w:i/>
                <w:kern w:val="0"/>
                <w:szCs w:val="21"/>
              </w:rPr>
            </m:ctrlPr>
          </m:sub>
        </m:sSub>
        <m:r>
          <m:rPr/>
          <w:rPr>
            <w:rFonts w:hint="eastAsia" w:ascii="Cambria Math" w:hAnsi="Cambria Math" w:cs="Times New Roman"/>
            <w:kern w:val="0"/>
            <w:szCs w:val="21"/>
          </w:rPr>
          <m:t>=</m:t>
        </m:r>
        <m:sSub>
          <m:sSubPr>
            <m:ctrlPr>
              <w:rPr>
                <w:rFonts w:ascii="Cambria Math" w:hAnsi="Cambria Math" w:cs="Times New Roman"/>
                <w:i/>
                <w:kern w:val="0"/>
                <w:szCs w:val="21"/>
              </w:rPr>
            </m:ctrlPr>
          </m:sSubPr>
          <m:e>
            <m:r>
              <m:rPr/>
              <w:rPr>
                <w:rFonts w:hint="eastAsia" w:ascii="Cambria Math" w:hAnsi="Cambria Math" w:cs="Times New Roman"/>
                <w:kern w:val="0"/>
                <w:szCs w:val="21"/>
              </w:rPr>
              <m:t>m</m:t>
            </m:r>
            <m:ctrlPr>
              <w:rPr>
                <w:rFonts w:ascii="Cambria Math" w:hAnsi="Cambria Math" w:cs="Times New Roman"/>
                <w:i/>
                <w:kern w:val="0"/>
                <w:szCs w:val="21"/>
              </w:rPr>
            </m:ctrlPr>
          </m:e>
          <m:sub>
            <m:r>
              <m:rPr/>
              <w:rPr>
                <w:rFonts w:ascii="Cambria Math" w:hAnsi="Cambria Math" w:cs="Times New Roman"/>
                <w:kern w:val="0"/>
                <w:szCs w:val="21"/>
              </w:rPr>
              <m:t>0</m:t>
            </m:r>
            <m:ctrlPr>
              <w:rPr>
                <w:rFonts w:ascii="Cambria Math" w:hAnsi="Cambria Math" w:cs="Times New Roman"/>
                <w:i/>
                <w:kern w:val="0"/>
                <w:szCs w:val="21"/>
              </w:rPr>
            </m:ctrlPr>
          </m:sub>
        </m:sSub>
        <m:r>
          <m:rPr/>
          <w:rPr>
            <w:rFonts w:hint="eastAsia" w:ascii="Cambria Math" w:hAnsi="Cambria Math" w:cs="Times New Roman"/>
            <w:kern w:val="0"/>
            <w:szCs w:val="21"/>
          </w:rPr>
          <m:t>g</m:t>
        </m:r>
      </m:oMath>
      <w:r>
        <w:rPr>
          <w:rFonts w:hint="eastAsia" w:cs="Times New Roman"/>
          <w:kern w:val="0"/>
          <w:szCs w:val="21"/>
        </w:rPr>
        <w:t>；</w:t>
      </w:r>
    </w:p>
    <w:p w14:paraId="415DAD45">
      <w:pPr>
        <w:spacing w:before="156"/>
        <w:ind w:firstLine="480"/>
        <w:rPr>
          <w:rFonts w:cs="Times New Roman"/>
          <w:kern w:val="0"/>
          <w:szCs w:val="21"/>
        </w:rPr>
      </w:pPr>
      <m:oMath>
        <m:sSub>
          <m:sSubPr>
            <m:ctrlPr>
              <w:rPr>
                <w:rFonts w:ascii="Cambria Math" w:hAnsi="Cambria Math" w:cs="Times New Roman"/>
                <w:kern w:val="0"/>
                <w:szCs w:val="21"/>
              </w:rPr>
            </m:ctrlPr>
          </m:sSubPr>
          <m:e>
            <m:r>
              <m:rPr/>
              <w:rPr>
                <w:rFonts w:ascii="Cambria Math" w:hAnsi="Cambria Math" w:cs="Times New Roman"/>
                <w:kern w:val="0"/>
                <w:szCs w:val="21"/>
              </w:rPr>
              <m:t>A</m:t>
            </m:r>
            <m:ctrlPr>
              <w:rPr>
                <w:rFonts w:ascii="Cambria Math" w:hAnsi="Cambria Math" w:cs="Times New Roman"/>
                <w:kern w:val="0"/>
                <w:szCs w:val="21"/>
              </w:rPr>
            </m:ctrlPr>
          </m:e>
          <m:sub>
            <m:r>
              <m:rPr/>
              <w:rPr>
                <w:rFonts w:ascii="Cambria Math" w:hAnsi="Cambria Math" w:cs="Times New Roman"/>
                <w:kern w:val="0"/>
                <w:szCs w:val="21"/>
              </w:rPr>
              <m:t>0</m:t>
            </m:r>
            <m:ctrlPr>
              <w:rPr>
                <w:rFonts w:ascii="Cambria Math" w:hAnsi="Cambria Math" w:cs="Times New Roman"/>
                <w:kern w:val="0"/>
                <w:szCs w:val="21"/>
              </w:rPr>
            </m:ctrlPr>
          </m:sub>
        </m:sSub>
      </m:oMath>
      <w:r>
        <w:rPr>
          <w:rFonts w:cs="Times New Roman"/>
          <w:szCs w:val="21"/>
        </w:rPr>
        <w:t>——</w:t>
      </w:r>
      <w:r>
        <w:rPr>
          <w:rFonts w:cs="Times New Roman"/>
          <w:kern w:val="0"/>
          <w:szCs w:val="21"/>
        </w:rPr>
        <w:t>汽缸活塞面积(m</w:t>
      </w:r>
      <w:r>
        <w:rPr>
          <w:rFonts w:cs="Times New Roman"/>
          <w:kern w:val="0"/>
          <w:szCs w:val="21"/>
          <w:vertAlign w:val="superscript"/>
        </w:rPr>
        <w:t>2</w:t>
      </w:r>
      <w:r>
        <w:rPr>
          <w:rFonts w:cs="Times New Roman"/>
          <w:kern w:val="0"/>
          <w:szCs w:val="21"/>
        </w:rPr>
        <w:t>)；</w:t>
      </w:r>
    </w:p>
    <w:p w14:paraId="41CD1871">
      <w:pPr>
        <w:spacing w:before="156"/>
        <w:ind w:firstLine="480"/>
        <w:rPr>
          <w:rFonts w:cs="Times New Roman"/>
          <w:kern w:val="0"/>
          <w:szCs w:val="21"/>
        </w:rPr>
      </w:pPr>
      <m:oMath>
        <m:sSub>
          <m:sSubPr>
            <m:ctrlPr>
              <w:rPr>
                <w:rFonts w:ascii="Cambria Math" w:hAnsi="Cambria Math"/>
              </w:rPr>
            </m:ctrlPr>
          </m:sSubPr>
          <m:e>
            <m:r>
              <m:rPr/>
              <w:rPr>
                <w:rFonts w:ascii="Cambria Math" w:hAnsi="Cambria Math"/>
              </w:rPr>
              <m:t>E</m:t>
            </m:r>
            <m:ctrlPr>
              <w:rPr>
                <w:rFonts w:ascii="Cambria Math" w:hAnsi="Cambria Math"/>
              </w:rPr>
            </m:ctrlPr>
          </m:e>
          <m:sub>
            <m:r>
              <m:rPr>
                <m:sty m:val="p"/>
              </m:rPr>
              <w:rPr>
                <w:rFonts w:ascii="Cambria Math" w:hAnsi="Cambria Math"/>
              </w:rPr>
              <m:t>0</m:t>
            </m:r>
            <m:ctrlPr>
              <w:rPr>
                <w:rFonts w:ascii="Cambria Math" w:hAnsi="Cambria Math"/>
              </w:rPr>
            </m:ctrlPr>
          </m:sub>
        </m:sSub>
      </m:oMath>
      <w:r>
        <w:rPr>
          <w:rFonts w:cs="Times New Roman"/>
          <w:szCs w:val="21"/>
        </w:rPr>
        <w:t>——</w:t>
      </w:r>
      <w:r>
        <w:rPr>
          <w:rFonts w:cs="Times New Roman"/>
          <w:kern w:val="0"/>
          <w:szCs w:val="21"/>
        </w:rPr>
        <w:t>锤头最大打击能量(kJ)。</w:t>
      </w:r>
    </w:p>
    <w:p w14:paraId="078455F4">
      <w:pPr>
        <w:pStyle w:val="4"/>
        <w:spacing w:before="156"/>
      </w:pPr>
      <w:r>
        <w:t xml:space="preserve">8.3 </w:t>
      </w:r>
      <w:r>
        <w:rPr>
          <w:rFonts w:hint="eastAsia"/>
        </w:rPr>
        <w:t>数值分析</w:t>
      </w:r>
    </w:p>
    <w:p w14:paraId="04279735">
      <w:pPr>
        <w:spacing w:before="156"/>
        <w:ind w:firstLine="480"/>
      </w:pPr>
      <w:r>
        <w:rPr>
          <w:rFonts w:hint="eastAsia"/>
        </w:rPr>
        <w:t>8</w:t>
      </w:r>
      <w:r>
        <w:t xml:space="preserve">.3.1 </w:t>
      </w:r>
      <w:r>
        <w:rPr>
          <w:rFonts w:hint="eastAsia"/>
        </w:rPr>
        <w:t>锻锤基础的数值分析宜采用有限元方法，模型应包含基础和地基土，并考虑材料非线性、接触非线性及动力相互作用。</w:t>
      </w:r>
    </w:p>
    <w:p w14:paraId="2CA7D51E">
      <w:pPr>
        <w:spacing w:before="156"/>
        <w:ind w:firstLine="480"/>
      </w:pPr>
      <w:r>
        <w:rPr>
          <w:rFonts w:hint="eastAsia"/>
        </w:rPr>
        <w:t>8</w:t>
      </w:r>
      <w:r>
        <w:t xml:space="preserve">.3.2 </w:t>
      </w:r>
      <w:r>
        <w:rPr>
          <w:rFonts w:hint="eastAsia"/>
        </w:rPr>
        <w:t>数值分析的内容应包括：</w:t>
      </w:r>
    </w:p>
    <w:p w14:paraId="66F7B48B">
      <w:pPr>
        <w:spacing w:before="156"/>
        <w:ind w:left="360" w:firstLine="480"/>
      </w:pPr>
      <w:r>
        <w:rPr>
          <w:rFonts w:hint="eastAsia"/>
        </w:rPr>
        <w:t>1验证简化计算结果的合理性；</w:t>
      </w:r>
    </w:p>
    <w:p w14:paraId="005E1BCC">
      <w:pPr>
        <w:spacing w:before="156"/>
        <w:ind w:left="360" w:firstLine="480"/>
      </w:pPr>
      <w:r>
        <w:rPr>
          <w:rFonts w:hint="eastAsia"/>
        </w:rPr>
        <w:t>2优化基础结构尺寸及配筋；</w:t>
      </w:r>
    </w:p>
    <w:p w14:paraId="50476084">
      <w:pPr>
        <w:spacing w:before="156"/>
        <w:ind w:left="360" w:firstLine="480"/>
      </w:pPr>
      <w:r>
        <w:rPr>
          <w:rFonts w:hint="eastAsia"/>
        </w:rPr>
        <w:t>3评估复杂地质条件下的动力响应；</w:t>
      </w:r>
    </w:p>
    <w:p w14:paraId="29EFA23C">
      <w:pPr>
        <w:spacing w:before="156"/>
        <w:ind w:left="360" w:firstLine="480"/>
      </w:pPr>
      <w:r>
        <w:rPr>
          <w:rFonts w:hint="eastAsia"/>
        </w:rPr>
        <w:t>4基础振动控制点的振动响应。</w:t>
      </w:r>
    </w:p>
    <w:p w14:paraId="2BCBF268">
      <w:pPr>
        <w:spacing w:before="156"/>
        <w:ind w:firstLine="480"/>
      </w:pPr>
      <w:r>
        <w:t xml:space="preserve">8.3.3 </w:t>
      </w:r>
      <w:r>
        <w:rPr>
          <w:rFonts w:hint="eastAsia"/>
        </w:rPr>
        <w:t>分析软件应具备瞬态动力学分析能力，并支持显式或隐式积分算法。</w:t>
      </w:r>
    </w:p>
    <w:p w14:paraId="1183860F">
      <w:pPr>
        <w:spacing w:before="156"/>
        <w:ind w:firstLine="480"/>
      </w:pPr>
      <w:r>
        <w:rPr>
          <w:rFonts w:hint="eastAsia"/>
        </w:rPr>
        <w:t>8.3.</w:t>
      </w:r>
      <w:r>
        <w:t>4</w:t>
      </w:r>
      <w:r>
        <w:rPr>
          <w:rFonts w:hint="eastAsia"/>
        </w:rPr>
        <w:t xml:space="preserve"> 模型的建立应满足以下要求 </w:t>
      </w:r>
    </w:p>
    <w:p w14:paraId="7CC7C9BD">
      <w:pPr>
        <w:spacing w:before="156"/>
        <w:ind w:left="360" w:firstLine="480"/>
      </w:pPr>
      <w:r>
        <w:rPr>
          <w:rFonts w:hint="eastAsia"/>
        </w:rPr>
        <w:t xml:space="preserve">1基础应按实际尺寸创建实体单元模型，砧座、锤架等设备质量应按活荷载和质量元形式施加；锻锤打击力应按冲击荷载，以时程函数形式施加。 </w:t>
      </w:r>
    </w:p>
    <w:p w14:paraId="179357DE">
      <w:pPr>
        <w:spacing w:before="156"/>
        <w:ind w:firstLine="480"/>
      </w:pPr>
      <w:r>
        <w:rPr>
          <w:rFonts w:hint="eastAsia"/>
        </w:rPr>
        <w:t xml:space="preserve">   2地基土可按照粘弹性土弹簧支座，作为钢筋混凝土基础的边界条件。</w:t>
      </w:r>
    </w:p>
    <w:p w14:paraId="7F489243">
      <w:pPr>
        <w:spacing w:before="156"/>
        <w:ind w:left="360" w:firstLine="480"/>
      </w:pPr>
      <w:r>
        <w:rPr>
          <w:rFonts w:hint="eastAsia"/>
        </w:rPr>
        <w:t xml:space="preserve">3混凝土采用弹塑性模型，弹性模量按现行国家标准《混凝土结构设计标准》GB 50010取值，阻尼比取0.05。  </w:t>
      </w:r>
    </w:p>
    <w:p w14:paraId="1E2004CF">
      <w:pPr>
        <w:spacing w:before="156"/>
        <w:ind w:firstLine="480"/>
      </w:pPr>
      <w:r>
        <w:rPr>
          <w:rFonts w:hint="eastAsia"/>
        </w:rPr>
        <w:t xml:space="preserve">   4地基土宜按现行国家标准《动力机器基础设计标准》GB</w:t>
      </w:r>
      <w:r>
        <w:t>50040</w:t>
      </w:r>
      <w:r>
        <w:rPr>
          <w:rFonts w:hint="eastAsia"/>
        </w:rPr>
        <w:t xml:space="preserve">计算地基土动态特征参数的抗压刚度系数，并由此计算出地基土的动态参数，刚度和阻尼比。  </w:t>
      </w:r>
    </w:p>
    <w:p w14:paraId="41244FD8">
      <w:pPr>
        <w:spacing w:before="156"/>
        <w:ind w:left="420" w:firstLine="480"/>
      </w:pPr>
      <w:r>
        <w:rPr>
          <w:rFonts w:hint="eastAsia"/>
        </w:rPr>
        <w:t xml:space="preserve">5冲击荷载可按第6.3节中脉冲函数的要求输入，持续时间宜根据锻件类型（热锻/冷锻）选取。  </w:t>
      </w:r>
    </w:p>
    <w:p w14:paraId="345D02B5">
      <w:pPr>
        <w:spacing w:before="156"/>
        <w:ind w:firstLine="480"/>
      </w:pPr>
      <w:r>
        <w:rPr>
          <w:rFonts w:hint="eastAsia"/>
        </w:rPr>
        <w:t>8.3.</w:t>
      </w:r>
      <w:r>
        <w:t>5</w:t>
      </w:r>
      <w:r>
        <w:rPr>
          <w:rFonts w:hint="eastAsia"/>
        </w:rPr>
        <w:t xml:space="preserve"> 分析应按以下步骤进行：  </w:t>
      </w:r>
    </w:p>
    <w:p w14:paraId="6F3D9C4A">
      <w:pPr>
        <w:spacing w:before="156"/>
        <w:ind w:firstLine="480"/>
      </w:pPr>
      <w:r>
        <w:rPr>
          <w:rFonts w:hint="eastAsia"/>
        </w:rPr>
        <w:t xml:space="preserve">1静力分析：计算基础在自重及设备静载下的初始应力场；  </w:t>
      </w:r>
    </w:p>
    <w:p w14:paraId="29A1A81D">
      <w:pPr>
        <w:spacing w:before="156"/>
        <w:ind w:firstLine="480"/>
      </w:pPr>
      <w:r>
        <w:rPr>
          <w:rFonts w:hint="eastAsia"/>
        </w:rPr>
        <w:t xml:space="preserve">2模态分析：提取基组固有频率及振型，验证与简化公式（8.2.1）的一致性；  </w:t>
      </w:r>
    </w:p>
    <w:p w14:paraId="5B45EE61">
      <w:pPr>
        <w:spacing w:before="156"/>
        <w:ind w:firstLine="480"/>
      </w:pPr>
      <w:r>
        <w:rPr>
          <w:rFonts w:hint="eastAsia"/>
        </w:rPr>
        <w:t>3瞬态动力分析：时间步长</w:t>
      </w:r>
      <m:oMath>
        <m:r>
          <m:rPr>
            <m:sty m:val="p"/>
          </m:rPr>
          <w:rPr>
            <w:rFonts w:ascii="Cambria Math" w:hAnsi="Cambria Math"/>
          </w:rPr>
          <m:t>∆</m:t>
        </m:r>
        <m:r>
          <m:rPr/>
          <w:rPr>
            <w:rFonts w:hint="eastAsia" w:ascii="Cambria Math" w:hAnsi="Cambria Math"/>
          </w:rPr>
          <m:t>t</m:t>
        </m:r>
        <m:r>
          <m:rPr>
            <m:sty m:val="p"/>
          </m:rPr>
          <w:rPr>
            <w:rFonts w:ascii="Cambria Math" w:hAnsi="Cambria Math"/>
          </w:rPr>
          <m:t>≤</m:t>
        </m:r>
        <m:f>
          <m:fPr>
            <m:type m:val="skw"/>
            <m:ctrlPr>
              <w:rPr>
                <w:rFonts w:ascii="Cambria Math" w:hAnsi="Cambria Math"/>
                <w:i/>
              </w:rPr>
            </m:ctrlPr>
          </m:fPr>
          <m:num>
            <m:sSub>
              <m:sSubPr>
                <m:ctrlPr>
                  <w:rPr>
                    <w:rFonts w:ascii="Cambria Math" w:hAnsi="Cambria Math"/>
                  </w:rPr>
                </m:ctrlPr>
              </m:sSubPr>
              <m:e>
                <m:r>
                  <m:rPr/>
                  <w:rPr>
                    <w:rFonts w:ascii="Cambria Math" w:hAnsi="Cambria Math"/>
                  </w:rPr>
                  <m:t>t</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i/>
              </w:rPr>
            </m:ctrlPr>
          </m:num>
          <m:den>
            <m:r>
              <m:rPr/>
              <w:rPr>
                <w:rFonts w:ascii="Cambria Math" w:hAnsi="Cambria Math"/>
              </w:rPr>
              <m:t>10</m:t>
            </m:r>
            <m:ctrlPr>
              <w:rPr>
                <w:rFonts w:ascii="Cambria Math" w:hAnsi="Cambria Math"/>
                <w:i/>
              </w:rPr>
            </m:ctrlPr>
          </m:den>
        </m:f>
      </m:oMath>
      <w:r>
        <w:rPr>
          <w:rFonts w:hint="eastAsia"/>
        </w:rPr>
        <w:t>，（</w:t>
      </w:r>
      <m:oMath>
        <m:sSub>
          <m:sSubPr>
            <m:ctrlPr>
              <w:rPr>
                <w:rFonts w:ascii="Cambria Math" w:hAnsi="Cambria Math"/>
              </w:rPr>
            </m:ctrlPr>
          </m:sSubPr>
          <m:e>
            <m:r>
              <m:rPr/>
              <w:rPr>
                <w:rFonts w:ascii="Cambria Math" w:hAnsi="Cambria Math"/>
              </w:rPr>
              <m:t>t</m:t>
            </m:r>
            <m:ctrlPr>
              <w:rPr>
                <w:rFonts w:ascii="Cambria Math" w:hAnsi="Cambria Math"/>
              </w:rPr>
            </m:ctrlPr>
          </m:e>
          <m:sub>
            <m:r>
              <m:rPr/>
              <w:rPr>
                <w:rFonts w:ascii="Cambria Math" w:hAnsi="Cambria Math"/>
              </w:rPr>
              <m:t>0</m:t>
            </m:r>
            <m:ctrlPr>
              <w:rPr>
                <w:rFonts w:ascii="Cambria Math" w:hAnsi="Cambria Math"/>
              </w:rPr>
            </m:ctrlPr>
          </m:sub>
        </m:sSub>
      </m:oMath>
      <w:r>
        <w:rPr>
          <w:rFonts w:hint="eastAsia"/>
        </w:rPr>
        <w:t xml:space="preserve">为脉冲持续时间），总时长覆盖振动衰减至5%峰值的时间；  </w:t>
      </w:r>
    </w:p>
    <w:p w14:paraId="24D6DBED">
      <w:pPr>
        <w:spacing w:before="156"/>
        <w:ind w:firstLine="480"/>
      </w:pPr>
      <w:r>
        <w:rPr>
          <w:rFonts w:hint="eastAsia"/>
        </w:rPr>
        <w:t xml:space="preserve">4 输出控制点的位移、加速度时程曲线及应力云图。  </w:t>
      </w:r>
    </w:p>
    <w:p w14:paraId="1928796D">
      <w:pPr>
        <w:spacing w:before="156"/>
        <w:ind w:firstLine="480"/>
      </w:pPr>
      <w:r>
        <w:rPr>
          <w:rFonts w:hint="eastAsia"/>
        </w:rPr>
        <w:t>8.3.</w:t>
      </w:r>
      <w:r>
        <w:t>6</w:t>
      </w:r>
      <w:r>
        <w:rPr>
          <w:rFonts w:hint="eastAsia"/>
        </w:rPr>
        <w:t xml:space="preserve"> 结果验证与评价应符合以下要求：  </w:t>
      </w:r>
    </w:p>
    <w:p w14:paraId="40C700B2">
      <w:pPr>
        <w:spacing w:before="156"/>
        <w:ind w:firstLine="480"/>
      </w:pPr>
      <w:r>
        <w:rPr>
          <w:rFonts w:hint="eastAsia"/>
        </w:rPr>
        <w:t xml:space="preserve">1. 数值结果应与简化计算结果对比，差异超过15%时需复核模型参数或简化假设。  </w:t>
      </w:r>
    </w:p>
    <w:p w14:paraId="2D728C0D">
      <w:pPr>
        <w:spacing w:before="156"/>
        <w:ind w:firstLine="480"/>
      </w:pPr>
      <w:r>
        <w:rPr>
          <w:rFonts w:hint="eastAsia"/>
        </w:rPr>
        <w:t xml:space="preserve">2. 振动位移与加速度应符合本标准第3.5节容许振动标准，否则需调整基础尺寸或隔振设计。  </w:t>
      </w:r>
    </w:p>
    <w:p w14:paraId="1E738AF8">
      <w:pPr>
        <w:spacing w:before="156"/>
        <w:ind w:firstLine="480"/>
      </w:pPr>
      <w:r>
        <w:rPr>
          <w:rFonts w:hint="eastAsia"/>
        </w:rPr>
        <w:t xml:space="preserve">3. 混凝土应力峰值应满足《混凝土结构设计标准》GB 50010的承载力要求，局部高应力区应加强配筋。  </w:t>
      </w:r>
    </w:p>
    <w:p w14:paraId="0EE0D321">
      <w:pPr>
        <w:spacing w:before="156"/>
        <w:ind w:firstLine="480"/>
      </w:pPr>
      <w:r>
        <w:rPr>
          <w:rFonts w:hint="eastAsia"/>
        </w:rPr>
        <w:t>8.3.</w:t>
      </w:r>
      <w:r>
        <w:t>7</w:t>
      </w:r>
      <w:r>
        <w:rPr>
          <w:rFonts w:hint="eastAsia"/>
        </w:rPr>
        <w:t xml:space="preserve"> 数值分析中尚需计入下列计算条件  </w:t>
      </w:r>
    </w:p>
    <w:p w14:paraId="62104651">
      <w:pPr>
        <w:spacing w:before="156"/>
        <w:ind w:firstLine="480"/>
      </w:pPr>
      <w:r>
        <w:rPr>
          <w:rFonts w:hint="eastAsia"/>
        </w:rPr>
        <w:t xml:space="preserve">1复杂地层：分层土需逐层定义动力参数，软弱夹层应单独建模并考虑其减震效应。  </w:t>
      </w:r>
    </w:p>
    <w:p w14:paraId="25668D82">
      <w:pPr>
        <w:spacing w:before="156"/>
        <w:ind w:firstLine="480"/>
      </w:pPr>
      <w:r>
        <w:rPr>
          <w:rFonts w:hint="eastAsia"/>
        </w:rPr>
        <w:t xml:space="preserve">2多锤联动：采用多荷载步模拟连续打击，叠加效应按第6.5.5条组合。  </w:t>
      </w:r>
    </w:p>
    <w:p w14:paraId="6A4F8645">
      <w:pPr>
        <w:spacing w:before="156"/>
        <w:ind w:firstLine="480"/>
      </w:pPr>
      <w:r>
        <w:rPr>
          <w:rFonts w:hint="eastAsia"/>
        </w:rPr>
        <w:t xml:space="preserve">3地震耦合：按《建筑抗震设计标准》 GB /T50011进行多遇地震下的时程分析。  </w:t>
      </w:r>
    </w:p>
    <w:p w14:paraId="1141A098">
      <w:pPr>
        <w:spacing w:before="156"/>
        <w:ind w:firstLine="480"/>
      </w:pPr>
      <w:r>
        <w:rPr>
          <w:rFonts w:hint="eastAsia"/>
        </w:rPr>
        <w:t>8.3.</w:t>
      </w:r>
      <w:r>
        <w:t>8</w:t>
      </w:r>
      <w:r>
        <w:rPr>
          <w:rFonts w:hint="eastAsia"/>
        </w:rPr>
        <w:t xml:space="preserve"> 计算书应包含以下内容  </w:t>
      </w:r>
    </w:p>
    <w:p w14:paraId="1DBAB4D9">
      <w:pPr>
        <w:spacing w:before="156"/>
        <w:ind w:firstLine="480"/>
      </w:pPr>
      <w:r>
        <w:rPr>
          <w:rFonts w:hint="eastAsia"/>
        </w:rPr>
        <w:t xml:space="preserve">数值分析计算书应包括：模型简图、材料参数、荷载条件、结果曲线（位移/加速度/应力）、与规范的符合性结论及优化建议。  </w:t>
      </w:r>
    </w:p>
    <w:p w14:paraId="3CEB141D">
      <w:pPr>
        <w:pStyle w:val="3"/>
      </w:pPr>
      <w:r>
        <w:t xml:space="preserve">9 </w:t>
      </w:r>
      <w:r>
        <w:rPr>
          <w:rFonts w:hint="eastAsia"/>
        </w:rPr>
        <w:t>隔振基础设计</w:t>
      </w:r>
    </w:p>
    <w:p w14:paraId="216F6D16">
      <w:pPr>
        <w:pStyle w:val="4"/>
        <w:spacing w:before="156"/>
      </w:pPr>
      <w:r>
        <w:t xml:space="preserve">9.1 </w:t>
      </w:r>
      <w:r>
        <w:rPr>
          <w:rFonts w:hint="eastAsia"/>
        </w:rPr>
        <w:t>一般规定</w:t>
      </w:r>
    </w:p>
    <w:p w14:paraId="56D0608A">
      <w:pPr>
        <w:spacing w:before="156"/>
        <w:ind w:firstLine="480"/>
      </w:pPr>
      <w:r>
        <w:t>9.1.</w:t>
      </w:r>
      <w:r>
        <w:rPr>
          <w:rFonts w:hint="eastAsia"/>
        </w:rPr>
        <w:t>1</w:t>
      </w:r>
      <w:r>
        <w:t xml:space="preserve"> </w:t>
      </w:r>
      <w:r>
        <w:rPr>
          <w:rFonts w:hint="eastAsia"/>
        </w:rPr>
        <w:t>本章适用于采用隔振技术的锻锤基础设计。隔振设计可采用直接隔振或间接隔振方式：</w:t>
      </w:r>
    </w:p>
    <w:p w14:paraId="13FC0991">
      <w:pPr>
        <w:spacing w:before="156"/>
        <w:ind w:firstLine="480"/>
      </w:pPr>
      <w:r>
        <w:rPr>
          <w:rFonts w:hint="eastAsia"/>
        </w:rPr>
        <w:t>1</w:t>
      </w:r>
      <w:r>
        <w:t xml:space="preserve"> </w:t>
      </w:r>
      <w:r>
        <w:rPr>
          <w:rFonts w:hint="eastAsia"/>
        </w:rPr>
        <w:t>自由锻锤宜采用间接隔振基础；</w:t>
      </w:r>
    </w:p>
    <w:p w14:paraId="1002F33A">
      <w:pPr>
        <w:spacing w:before="156"/>
        <w:ind w:firstLine="480"/>
      </w:pPr>
      <w:r>
        <w:rPr>
          <w:rFonts w:hint="eastAsia"/>
        </w:rPr>
        <w:t>2</w:t>
      </w:r>
      <w:r>
        <w:t xml:space="preserve"> </w:t>
      </w:r>
      <w:r>
        <w:rPr>
          <w:rFonts w:hint="eastAsia"/>
        </w:rPr>
        <w:t>模锻锤基础可采用直接隔振基础。</w:t>
      </w:r>
    </w:p>
    <w:p w14:paraId="64FF5BC3">
      <w:pPr>
        <w:spacing w:before="156"/>
        <w:ind w:firstLine="480"/>
      </w:pPr>
      <w:r>
        <w:rPr>
          <w:rFonts w:hint="eastAsia"/>
        </w:rPr>
        <w:t>3</w:t>
      </w:r>
      <w:r>
        <w:t xml:space="preserve"> </w:t>
      </w:r>
      <w:r>
        <w:rPr>
          <w:rFonts w:hint="eastAsia"/>
        </w:rPr>
        <w:t>隔振设计应满足锻锤工艺要求，并符合环境振动控制标准。</w:t>
      </w:r>
    </w:p>
    <w:p w14:paraId="6FD1817E">
      <w:pPr>
        <w:spacing w:before="156"/>
        <w:ind w:firstLine="480"/>
      </w:pPr>
      <w:r>
        <w:t xml:space="preserve">9.1.2 </w:t>
      </w:r>
      <w:r>
        <w:rPr>
          <w:rFonts w:hint="eastAsia"/>
        </w:rPr>
        <w:t>隔振基础设计需遵循下列原则：</w:t>
      </w:r>
    </w:p>
    <w:p w14:paraId="5361B22A">
      <w:pPr>
        <w:spacing w:before="156"/>
        <w:ind w:firstLine="480"/>
      </w:pPr>
      <w:r>
        <w:rPr>
          <w:rFonts w:hint="eastAsia"/>
        </w:rPr>
        <w:t xml:space="preserve">1隔振系统应能有效降低振动传递率，确保锻锤打击效率不受显著影响。  </w:t>
      </w:r>
    </w:p>
    <w:p w14:paraId="65FCC49B">
      <w:pPr>
        <w:spacing w:before="156"/>
        <w:ind w:firstLine="480"/>
      </w:pPr>
      <w:r>
        <w:rPr>
          <w:rFonts w:hint="eastAsia"/>
        </w:rPr>
        <w:t xml:space="preserve">2隔振器选型应综合考虑刚度、阻尼、疲劳寿命及环境适应性。  </w:t>
      </w:r>
    </w:p>
    <w:p w14:paraId="2D0F55DC">
      <w:pPr>
        <w:spacing w:before="156"/>
        <w:ind w:firstLine="480"/>
      </w:pPr>
      <w:r>
        <w:rPr>
          <w:rFonts w:hint="eastAsia"/>
        </w:rPr>
        <w:t xml:space="preserve">3隔振基础的结构设计应满足静力承载力、动力稳定性及长期耐久性要求。  </w:t>
      </w:r>
    </w:p>
    <w:p w14:paraId="42B6A973">
      <w:pPr>
        <w:spacing w:before="156"/>
        <w:ind w:firstLine="480"/>
      </w:pPr>
      <w:r>
        <w:rPr>
          <w:rFonts w:hint="eastAsia"/>
        </w:rPr>
        <w:t>4</w:t>
      </w:r>
      <w:r>
        <w:t xml:space="preserve"> </w:t>
      </w:r>
      <w:r>
        <w:rPr>
          <w:rFonts w:hint="eastAsia"/>
        </w:rPr>
        <w:t xml:space="preserve">隔振系统固有频率宜避开锻锤工作频率，避免冲击共振。当隔振系统阻尼比大于0.15时，可不考虑冲击共振的影响。  </w:t>
      </w:r>
    </w:p>
    <w:p w14:paraId="3E6B7C10">
      <w:pPr>
        <w:spacing w:before="156"/>
        <w:ind w:firstLine="480"/>
      </w:pPr>
      <w:r>
        <w:rPr>
          <w:rFonts w:hint="eastAsia"/>
        </w:rPr>
        <w:t xml:space="preserve">5隔振基础宜设置限位装置，防止冲击荷载下的过大位移。  </w:t>
      </w:r>
    </w:p>
    <w:p w14:paraId="28F35898">
      <w:pPr>
        <w:spacing w:before="156"/>
        <w:ind w:firstLine="480"/>
      </w:pPr>
      <w:r>
        <w:rPr>
          <w:rFonts w:hint="eastAsia"/>
        </w:rPr>
        <w:t>6</w:t>
      </w:r>
      <w:r>
        <w:t xml:space="preserve"> </w:t>
      </w:r>
      <w:r>
        <w:rPr>
          <w:rFonts w:hint="eastAsia"/>
        </w:rPr>
        <w:t>隔振锻锤基础的地基允许承载力可按不折减的数值取用。</w:t>
      </w:r>
    </w:p>
    <w:p w14:paraId="12F89A70">
      <w:pPr>
        <w:pStyle w:val="4"/>
        <w:spacing w:before="156"/>
      </w:pPr>
      <w:r>
        <w:rPr>
          <w:rFonts w:hint="eastAsia"/>
        </w:rPr>
        <w:t xml:space="preserve">9.2 技术方案 </w:t>
      </w:r>
    </w:p>
    <w:p w14:paraId="123087C7">
      <w:pPr>
        <w:spacing w:before="156"/>
        <w:ind w:firstLine="480"/>
      </w:pPr>
      <w:r>
        <w:t xml:space="preserve">9.2.1 </w:t>
      </w:r>
      <w:r>
        <w:rPr>
          <w:rFonts w:hint="eastAsia"/>
        </w:rPr>
        <w:t>锻锤基础隔振可选如下用两种隔振方案：</w:t>
      </w:r>
    </w:p>
    <w:p w14:paraId="058B4400">
      <w:pPr>
        <w:spacing w:before="156"/>
        <w:ind w:firstLine="480"/>
      </w:pPr>
      <w:r>
        <w:rPr>
          <w:rFonts w:hint="eastAsia"/>
        </w:rPr>
        <w:t>1隔振器安装在设备底座与基础之间的直接隔振方案（见图9</w:t>
      </w:r>
      <w:r>
        <w:t>.2.1-1</w:t>
      </w:r>
      <w:r>
        <w:rPr>
          <w:rFonts w:hint="eastAsia"/>
        </w:rPr>
        <w:t>）；</w:t>
      </w:r>
    </w:p>
    <w:p w14:paraId="136B1064">
      <w:pPr>
        <w:spacing w:before="156"/>
        <w:ind w:firstLine="480"/>
      </w:pPr>
      <w:r>
        <w:rPr>
          <w:rFonts w:hint="eastAsia"/>
        </w:rPr>
        <w:t>2隔振器设置在基础配重块与基坑之间的间接隔振方案（见图9</w:t>
      </w:r>
      <w:r>
        <w:t>.2.1-2</w:t>
      </w:r>
      <w:r>
        <w:rPr>
          <w:rFonts w:hint="eastAsia"/>
        </w:rPr>
        <w:t>）。</w:t>
      </w:r>
    </w:p>
    <w:p w14:paraId="19CE1455">
      <w:pPr>
        <w:pStyle w:val="39"/>
      </w:pPr>
      <w:r>
        <w:drawing>
          <wp:inline distT="0" distB="0" distL="0" distR="0">
            <wp:extent cx="1227455" cy="1799590"/>
            <wp:effectExtent l="0" t="0" r="10795" b="1016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27600" cy="1800000"/>
                    </a:xfrm>
                    <a:prstGeom prst="rect">
                      <a:avLst/>
                    </a:prstGeom>
                    <a:noFill/>
                  </pic:spPr>
                </pic:pic>
              </a:graphicData>
            </a:graphic>
          </wp:inline>
        </w:drawing>
      </w:r>
      <w:r>
        <w:t xml:space="preserve">            </w:t>
      </w:r>
      <w:r>
        <w:drawing>
          <wp:inline distT="0" distB="0" distL="0" distR="0">
            <wp:extent cx="1169670" cy="1799590"/>
            <wp:effectExtent l="0" t="0" r="11430" b="1016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170000" cy="1800000"/>
                    </a:xfrm>
                    <a:prstGeom prst="rect">
                      <a:avLst/>
                    </a:prstGeom>
                    <a:noFill/>
                  </pic:spPr>
                </pic:pic>
              </a:graphicData>
            </a:graphic>
          </wp:inline>
        </w:drawing>
      </w:r>
    </w:p>
    <w:p w14:paraId="20D8E5DF">
      <w:pPr>
        <w:pStyle w:val="39"/>
      </w:pPr>
      <w:r>
        <w:rPr>
          <w:rFonts w:hint="eastAsia"/>
        </w:rPr>
        <w:t>图9</w:t>
      </w:r>
      <w:r>
        <w:t xml:space="preserve">.2.1-1  </w:t>
      </w:r>
      <w:r>
        <w:rPr>
          <w:rFonts w:hint="eastAsia"/>
        </w:rPr>
        <w:t xml:space="preserve">直接隔振 </w:t>
      </w:r>
      <w:r>
        <w:t xml:space="preserve">         </w:t>
      </w:r>
      <w:r>
        <w:rPr>
          <w:rFonts w:hint="eastAsia"/>
        </w:rPr>
        <w:t>图9</w:t>
      </w:r>
      <w:r>
        <w:t xml:space="preserve">.2.1-2 </w:t>
      </w:r>
      <w:r>
        <w:rPr>
          <w:rFonts w:hint="eastAsia"/>
        </w:rPr>
        <w:t>间接隔振</w:t>
      </w:r>
    </w:p>
    <w:p w14:paraId="66496BEA">
      <w:pPr>
        <w:spacing w:before="156"/>
        <w:ind w:firstLine="480"/>
      </w:pPr>
      <w:r>
        <w:t xml:space="preserve">9.2.2 </w:t>
      </w:r>
      <w:r>
        <w:rPr>
          <w:rFonts w:hint="eastAsia"/>
        </w:rPr>
        <w:t>锻锤隔振宜按如下要求选择隔振方案：</w:t>
      </w:r>
    </w:p>
    <w:p w14:paraId="29BDD6D0">
      <w:pPr>
        <w:spacing w:before="156"/>
        <w:ind w:firstLine="480"/>
      </w:pPr>
      <w:r>
        <w:rPr>
          <w:rFonts w:hint="eastAsia"/>
        </w:rPr>
        <w:t>1</w:t>
      </w:r>
      <w:r>
        <w:t xml:space="preserve"> </w:t>
      </w:r>
      <w:r>
        <w:rPr>
          <w:rFonts w:hint="eastAsia"/>
        </w:rPr>
        <w:t xml:space="preserve">对于中小型及以下的，且无特殊防振要求时，可采用直接隔振方案。 </w:t>
      </w:r>
    </w:p>
    <w:p w14:paraId="72E6A521">
      <w:pPr>
        <w:spacing w:before="156"/>
        <w:ind w:firstLine="480"/>
      </w:pPr>
      <w:r>
        <w:rPr>
          <w:rFonts w:hint="eastAsia"/>
        </w:rPr>
        <w:t>2</w:t>
      </w:r>
      <w:r>
        <w:t xml:space="preserve"> </w:t>
      </w:r>
      <w:r>
        <w:rPr>
          <w:rFonts w:hint="eastAsia"/>
        </w:rPr>
        <w:t xml:space="preserve">对于锤头质量大于5t的大型锻锤和高振动敏感环境要求的场合，应采用间接隔振方案。 </w:t>
      </w:r>
    </w:p>
    <w:p w14:paraId="3100E811">
      <w:pPr>
        <w:spacing w:before="156"/>
        <w:ind w:firstLine="480"/>
      </w:pPr>
      <w:r>
        <w:rPr>
          <w:rFonts w:hint="eastAsia"/>
        </w:rPr>
        <w:t>9</w:t>
      </w:r>
      <w:r>
        <w:t xml:space="preserve">.2.3 </w:t>
      </w:r>
      <w:r>
        <w:rPr>
          <w:rFonts w:hint="eastAsia"/>
        </w:rPr>
        <w:t>锻锤隔振系统组成应包含如下内容：</w:t>
      </w:r>
    </w:p>
    <w:p w14:paraId="0AD3B270">
      <w:pPr>
        <w:spacing w:before="156"/>
        <w:ind w:firstLine="480"/>
      </w:pPr>
      <w:r>
        <w:rPr>
          <w:rFonts w:hint="eastAsia"/>
        </w:rPr>
        <w:t>1</w:t>
      </w:r>
      <w:r>
        <w:t xml:space="preserve"> </w:t>
      </w:r>
      <w:r>
        <w:rPr>
          <w:rFonts w:hint="eastAsia"/>
        </w:rPr>
        <w:t>弹性元件：钢弹簧、橡胶隔振器或空气弹簧等。</w:t>
      </w:r>
    </w:p>
    <w:p w14:paraId="7671397E">
      <w:pPr>
        <w:spacing w:before="156"/>
        <w:ind w:firstLine="480"/>
      </w:pPr>
      <w:r>
        <w:rPr>
          <w:rFonts w:hint="eastAsia"/>
        </w:rPr>
        <w:t>2</w:t>
      </w:r>
      <w:r>
        <w:t xml:space="preserve"> </w:t>
      </w:r>
      <w:r>
        <w:rPr>
          <w:rFonts w:hint="eastAsia"/>
        </w:rPr>
        <w:t>阻尼元件：黏滞阻尼器、摩擦阻尼器等。</w:t>
      </w:r>
    </w:p>
    <w:p w14:paraId="70B78990">
      <w:pPr>
        <w:spacing w:before="156"/>
        <w:ind w:firstLine="480"/>
      </w:pPr>
      <w:r>
        <w:rPr>
          <w:rFonts w:hint="eastAsia"/>
        </w:rPr>
        <w:t>3</w:t>
      </w:r>
      <w:r>
        <w:t xml:space="preserve"> </w:t>
      </w:r>
      <w:r>
        <w:rPr>
          <w:rFonts w:hint="eastAsia"/>
        </w:rPr>
        <w:t>辅助结构：限位块、水平稳定装置、防松螺栓等。</w:t>
      </w:r>
    </w:p>
    <w:p w14:paraId="7F8A913F">
      <w:pPr>
        <w:spacing w:before="156"/>
        <w:ind w:firstLine="480"/>
      </w:pPr>
      <w:r>
        <w:rPr>
          <w:rFonts w:hint="eastAsia"/>
        </w:rPr>
        <w:t>9</w:t>
      </w:r>
      <w:r>
        <w:t xml:space="preserve">.2.4 </w:t>
      </w:r>
      <w:r>
        <w:rPr>
          <w:rFonts w:hint="eastAsia"/>
        </w:rPr>
        <w:t>锻锤隔振基础设计过程应包含如下内容：</w:t>
      </w:r>
    </w:p>
    <w:p w14:paraId="422A2451">
      <w:pPr>
        <w:spacing w:before="156"/>
        <w:ind w:firstLine="480"/>
      </w:pPr>
      <w:r>
        <w:rPr>
          <w:rFonts w:hint="eastAsia"/>
        </w:rPr>
        <w:t>1</w:t>
      </w:r>
      <w:r>
        <w:t xml:space="preserve"> </w:t>
      </w:r>
      <w:r>
        <w:rPr>
          <w:rFonts w:hint="eastAsia"/>
        </w:rPr>
        <w:t xml:space="preserve">确定隔振目标，容许振动值）。 </w:t>
      </w:r>
    </w:p>
    <w:p w14:paraId="65C000EE">
      <w:pPr>
        <w:spacing w:before="156"/>
        <w:ind w:firstLine="480"/>
      </w:pPr>
      <w:r>
        <w:rPr>
          <w:rFonts w:hint="eastAsia"/>
        </w:rPr>
        <w:t>2选择隔振方式及元件。</w:t>
      </w:r>
    </w:p>
    <w:p w14:paraId="11F08B92">
      <w:pPr>
        <w:spacing w:before="156"/>
        <w:ind w:firstLine="480"/>
      </w:pPr>
      <w:r>
        <w:rPr>
          <w:rFonts w:hint="eastAsia"/>
        </w:rPr>
        <w:t>3</w:t>
      </w:r>
      <w:r>
        <w:t xml:space="preserve"> </w:t>
      </w:r>
      <w:r>
        <w:rPr>
          <w:rFonts w:hint="eastAsia"/>
        </w:rPr>
        <w:t xml:space="preserve">计算隔振系统动力参数（刚度、阻尼比）。  </w:t>
      </w:r>
    </w:p>
    <w:p w14:paraId="54272319">
      <w:pPr>
        <w:spacing w:before="156"/>
        <w:ind w:firstLine="480"/>
      </w:pPr>
      <w:r>
        <w:rPr>
          <w:rFonts w:hint="eastAsia"/>
        </w:rPr>
        <w:t>4</w:t>
      </w:r>
      <w:r>
        <w:t xml:space="preserve"> </w:t>
      </w:r>
      <w:r>
        <w:rPr>
          <w:rFonts w:hint="eastAsia"/>
        </w:rPr>
        <w:t xml:space="preserve">验算隔振效果及结构安全性。  </w:t>
      </w:r>
    </w:p>
    <w:p w14:paraId="24D7FE84">
      <w:pPr>
        <w:pStyle w:val="4"/>
        <w:spacing w:before="156"/>
      </w:pPr>
      <w:r>
        <w:rPr>
          <w:rFonts w:hint="eastAsia"/>
        </w:rPr>
        <w:t>9.</w:t>
      </w:r>
      <w:r>
        <w:t xml:space="preserve">3 </w:t>
      </w:r>
      <w:r>
        <w:rPr>
          <w:rFonts w:hint="eastAsia"/>
        </w:rPr>
        <w:t xml:space="preserve">经验公式  </w:t>
      </w:r>
    </w:p>
    <w:p w14:paraId="1E6FB856">
      <w:pPr>
        <w:spacing w:before="156"/>
        <w:ind w:firstLine="480"/>
      </w:pPr>
      <w:r>
        <w:t xml:space="preserve">9.3.1 </w:t>
      </w:r>
      <w:r>
        <w:rPr>
          <w:rFonts w:hint="eastAsia"/>
        </w:rPr>
        <w:t>锻锤基础隔振后的振动分析模型， 应符合下列规定：</w:t>
      </w:r>
    </w:p>
    <w:p w14:paraId="6C8E893D">
      <w:pPr>
        <w:spacing w:before="156"/>
        <w:ind w:firstLine="480"/>
      </w:pPr>
      <w:r>
        <w:rPr>
          <w:rFonts w:hint="eastAsia"/>
        </w:rPr>
        <w:t>1 砧座振动计算时，可假定基础为不动体，宜采用有阻尼单自由度振动模型（图 9.3.1-1）。</w:t>
      </w:r>
    </w:p>
    <w:p w14:paraId="7CB69899">
      <w:pPr>
        <w:spacing w:before="156"/>
        <w:ind w:firstLine="480"/>
        <w:rPr>
          <w:rFonts w:ascii="宋体" w:hAnsi="宋体"/>
          <w:szCs w:val="24"/>
        </w:rPr>
      </w:pPr>
      <w:r>
        <w:rPr>
          <w:rFonts w:hint="eastAsia"/>
        </w:rPr>
        <w:t>2 基础振动计算时，振动荷载可取隔振器作用于基础的扰力，宜采用无阻尼单自由度振动模型（图9.3.1-2）。</w:t>
      </w:r>
    </w:p>
    <w:p w14:paraId="7CC606A7">
      <w:pPr>
        <w:pStyle w:val="39"/>
      </w:pPr>
      <w:r>
        <w:drawing>
          <wp:inline distT="0" distB="0" distL="0" distR="0">
            <wp:extent cx="2339975" cy="2033905"/>
            <wp:effectExtent l="0" t="0" r="317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9"/>
                    <a:stretch>
                      <a:fillRect/>
                    </a:stretch>
                  </pic:blipFill>
                  <pic:spPr>
                    <a:xfrm>
                      <a:off x="0" y="0"/>
                      <a:ext cx="2340000" cy="2034000"/>
                    </a:xfrm>
                    <a:prstGeom prst="rect">
                      <a:avLst/>
                    </a:prstGeom>
                  </pic:spPr>
                </pic:pic>
              </a:graphicData>
            </a:graphic>
          </wp:inline>
        </w:drawing>
      </w:r>
      <w:r>
        <w:rPr>
          <w:rFonts w:hint="eastAsia"/>
        </w:rPr>
        <w:t xml:space="preserve"> </w:t>
      </w:r>
      <w:r>
        <w:drawing>
          <wp:inline distT="0" distB="0" distL="0" distR="0">
            <wp:extent cx="2339975" cy="1911350"/>
            <wp:effectExtent l="0" t="0" r="3175"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0"/>
                    <a:stretch>
                      <a:fillRect/>
                    </a:stretch>
                  </pic:blipFill>
                  <pic:spPr>
                    <a:xfrm>
                      <a:off x="0" y="0"/>
                      <a:ext cx="2340000" cy="1911600"/>
                    </a:xfrm>
                    <a:prstGeom prst="rect">
                      <a:avLst/>
                    </a:prstGeom>
                  </pic:spPr>
                </pic:pic>
              </a:graphicData>
            </a:graphic>
          </wp:inline>
        </w:drawing>
      </w:r>
    </w:p>
    <w:p w14:paraId="6B302567">
      <w:pPr>
        <w:pStyle w:val="39"/>
      </w:pPr>
      <w:r>
        <w:rPr>
          <w:rFonts w:hint="eastAsia"/>
        </w:rPr>
        <w:t xml:space="preserve">1—基础；2—砧座；3—锤头 </w:t>
      </w:r>
      <w:r>
        <w:t xml:space="preserve">        </w:t>
      </w:r>
      <w:r>
        <w:rPr>
          <w:rFonts w:hint="eastAsia"/>
        </w:rPr>
        <w:t xml:space="preserve"> </w:t>
      </w:r>
      <w:r>
        <w:t xml:space="preserve"> </w:t>
      </w:r>
      <w:r>
        <w:rPr>
          <w:rFonts w:hint="eastAsia"/>
        </w:rPr>
        <w:t>1—基础；2—地基</w:t>
      </w:r>
    </w:p>
    <w:p w14:paraId="5901E15D">
      <w:pPr>
        <w:pStyle w:val="39"/>
      </w:pPr>
      <w:r>
        <w:rPr>
          <w:rFonts w:hint="eastAsia"/>
        </w:rPr>
        <w:t xml:space="preserve">图9.3.1-1有阻尼单自由度模型 </w:t>
      </w:r>
      <w:r>
        <w:t xml:space="preserve">     </w:t>
      </w:r>
      <w:r>
        <w:rPr>
          <w:rFonts w:hint="eastAsia"/>
        </w:rPr>
        <w:t>图9.3.1-2</w:t>
      </w:r>
      <w:r>
        <w:t xml:space="preserve"> </w:t>
      </w:r>
      <w:r>
        <w:rPr>
          <w:rFonts w:hint="eastAsia"/>
        </w:rPr>
        <w:t>无阻尼单自由度模型</w:t>
      </w:r>
    </w:p>
    <w:p w14:paraId="7DB3448A">
      <w:pPr>
        <w:spacing w:before="156"/>
        <w:ind w:firstLine="480"/>
        <w:rPr>
          <w:rFonts w:ascii="宋体" w:hAnsi="宋体"/>
          <w:szCs w:val="24"/>
        </w:rPr>
      </w:pPr>
      <w:r>
        <w:rPr>
          <w:rFonts w:hint="eastAsia" w:ascii="宋体" w:hAnsi="宋体"/>
          <w:szCs w:val="24"/>
        </w:rPr>
        <w:t>9</w:t>
      </w:r>
      <w:r>
        <w:rPr>
          <w:rFonts w:ascii="宋体" w:hAnsi="宋体"/>
          <w:szCs w:val="24"/>
        </w:rPr>
        <w:t>.3.</w:t>
      </w:r>
      <w:r>
        <w:rPr>
          <w:rFonts w:hint="eastAsia" w:ascii="宋体" w:hAnsi="宋体"/>
          <w:szCs w:val="24"/>
        </w:rPr>
        <w:t>2</w:t>
      </w:r>
      <w:r>
        <w:rPr>
          <w:rFonts w:ascii="宋体" w:hAnsi="宋体"/>
          <w:szCs w:val="24"/>
        </w:rPr>
        <w:t>分析隔振基础的竖向振动位移时，可假定基础</w:t>
      </w:r>
      <w:r>
        <w:rPr>
          <w:rFonts w:hint="eastAsia" w:ascii="宋体" w:hAnsi="宋体"/>
          <w:szCs w:val="24"/>
        </w:rPr>
        <w:t>块</w:t>
      </w:r>
      <w:r>
        <w:rPr>
          <w:rFonts w:ascii="宋体" w:hAnsi="宋体"/>
          <w:szCs w:val="24"/>
        </w:rPr>
        <w:t>为刚性体，宜采用单自由度振动模型；</w:t>
      </w:r>
    </w:p>
    <w:p w14:paraId="615967BA">
      <w:pPr>
        <w:spacing w:before="156"/>
        <w:ind w:firstLine="480"/>
        <w:rPr>
          <w:rFonts w:ascii="宋体" w:hAnsi="宋体"/>
          <w:szCs w:val="24"/>
        </w:rPr>
      </w:pPr>
      <w:r>
        <w:rPr>
          <w:rFonts w:ascii="宋体" w:hAnsi="宋体"/>
          <w:szCs w:val="24"/>
        </w:rPr>
        <w:t>分析地基振动位移时，扰力可取隔振器底部作用于下部结构的</w:t>
      </w:r>
      <w:r>
        <w:rPr>
          <w:rFonts w:hint="eastAsia" w:ascii="宋体" w:hAnsi="宋体"/>
          <w:szCs w:val="24"/>
        </w:rPr>
        <w:t>振动</w:t>
      </w:r>
      <w:r>
        <w:rPr>
          <w:rFonts w:ascii="宋体" w:hAnsi="宋体"/>
          <w:szCs w:val="24"/>
        </w:rPr>
        <w:t>荷载，宜采用无阻尼单自由度振动模型</w:t>
      </w:r>
      <w:r>
        <w:rPr>
          <w:rFonts w:hint="eastAsia" w:ascii="宋体" w:hAnsi="宋体"/>
          <w:szCs w:val="24"/>
        </w:rPr>
        <w:t>。</w:t>
      </w:r>
    </w:p>
    <w:p w14:paraId="04092A22">
      <w:pPr>
        <w:spacing w:before="156"/>
        <w:ind w:firstLine="480"/>
        <w:rPr>
          <w:rFonts w:ascii="宋体" w:hAnsi="宋体"/>
          <w:szCs w:val="24"/>
        </w:rPr>
      </w:pPr>
      <w:r>
        <w:rPr>
          <w:rFonts w:hint="eastAsia" w:ascii="宋体" w:hAnsi="宋体"/>
          <w:szCs w:val="24"/>
        </w:rPr>
        <w:t>9</w:t>
      </w:r>
      <w:r>
        <w:rPr>
          <w:rFonts w:ascii="宋体" w:hAnsi="宋体"/>
          <w:szCs w:val="24"/>
        </w:rPr>
        <w:t>.3.3 隔振器支撑的</w:t>
      </w:r>
      <w:r>
        <w:rPr>
          <w:rFonts w:hint="eastAsia" w:ascii="宋体" w:hAnsi="宋体"/>
          <w:szCs w:val="24"/>
        </w:rPr>
        <w:t>基础</w:t>
      </w:r>
      <w:r>
        <w:rPr>
          <w:rFonts w:ascii="宋体" w:hAnsi="宋体"/>
          <w:szCs w:val="24"/>
        </w:rPr>
        <w:t>块最大竖向振动位移可按下列公式计算：</w:t>
      </w:r>
    </w:p>
    <w:p w14:paraId="6EA21A43">
      <w:pPr>
        <w:spacing w:before="156"/>
        <w:ind w:firstLine="480"/>
        <w:jc w:val="right"/>
        <w:rPr>
          <w:rFonts w:ascii="宋体" w:hAnsi="宋体"/>
          <w:szCs w:val="24"/>
        </w:rPr>
      </w:pPr>
      <m:oMath>
        <m:sSub>
          <m:sSubPr>
            <m:ctrlPr>
              <w:rPr>
                <w:rFonts w:ascii="Cambria Math" w:hAnsi="Cambria Math"/>
                <w:szCs w:val="24"/>
              </w:rPr>
            </m:ctrlPr>
          </m:sSubPr>
          <m:e>
            <m:r>
              <m:rPr/>
              <w:rPr>
                <w:rFonts w:ascii="Cambria Math" w:hAnsi="Cambria Math"/>
                <w:szCs w:val="24"/>
              </w:rPr>
              <m:t>A</m:t>
            </m:r>
            <m:ctrlPr>
              <w:rPr>
                <w:rFonts w:ascii="Cambria Math" w:hAnsi="Cambria Math"/>
                <w:szCs w:val="24"/>
              </w:rPr>
            </m:ctrlPr>
          </m:e>
          <m:sub>
            <m:r>
              <m:rPr/>
              <w:rPr>
                <w:rFonts w:ascii="Cambria Math" w:hAnsi="Cambria Math"/>
                <w:szCs w:val="24"/>
              </w:rPr>
              <m:t>Z1</m:t>
            </m:r>
            <m:ctrlPr>
              <w:rPr>
                <w:rFonts w:ascii="Cambria Math" w:hAnsi="Cambria Math"/>
                <w:szCs w:val="24"/>
              </w:rPr>
            </m:ctrlPr>
          </m:sub>
        </m:sSub>
        <m:r>
          <m:rPr>
            <m:sty m:val="p"/>
          </m:rPr>
          <w:rPr>
            <w:rFonts w:ascii="Cambria Math" w:hAnsi="Cambria Math"/>
            <w:szCs w:val="24"/>
          </w:rPr>
          <m:t>=</m:t>
        </m:r>
        <m:f>
          <m:fPr>
            <m:ctrlPr>
              <w:rPr>
                <w:rFonts w:ascii="Cambria Math" w:hAnsi="Cambria Math"/>
                <w:szCs w:val="24"/>
              </w:rPr>
            </m:ctrlPr>
          </m:fPr>
          <m:num>
            <m:d>
              <m:dPr>
                <m:ctrlPr>
                  <w:rPr>
                    <w:rFonts w:ascii="Cambria Math" w:hAnsi="Cambria Math"/>
                    <w:i/>
                    <w:szCs w:val="24"/>
                  </w:rPr>
                </m:ctrlPr>
              </m:dPr>
              <m:e>
                <m:r>
                  <m:rPr/>
                  <w:rPr>
                    <w:rFonts w:ascii="Cambria Math" w:hAnsi="Cambria Math"/>
                    <w:szCs w:val="24"/>
                  </w:rPr>
                  <m:t>1+</m:t>
                </m:r>
                <m:sSub>
                  <m:sSubPr>
                    <m:ctrlPr>
                      <w:rPr>
                        <w:rFonts w:ascii="Cambria Math" w:hAnsi="Cambria Math"/>
                        <w:i/>
                        <w:szCs w:val="24"/>
                      </w:rPr>
                    </m:ctrlPr>
                  </m:sSubPr>
                  <m:e>
                    <m:r>
                      <m:rPr/>
                      <w:rPr>
                        <w:rFonts w:ascii="Cambria Math" w:hAnsi="Cambria Math"/>
                        <w:szCs w:val="24"/>
                      </w:rPr>
                      <m:t>e</m:t>
                    </m:r>
                    <m:ctrlPr>
                      <w:rPr>
                        <w:rFonts w:ascii="Cambria Math" w:hAnsi="Cambria Math"/>
                        <w:i/>
                        <w:szCs w:val="24"/>
                      </w:rPr>
                    </m:ctrlPr>
                  </m:e>
                  <m:sub>
                    <m:r>
                      <m:rPr/>
                      <w:rPr>
                        <w:rFonts w:ascii="Cambria Math" w:hAnsi="Cambria Math"/>
                        <w:szCs w:val="24"/>
                      </w:rPr>
                      <m:t>1</m:t>
                    </m:r>
                    <m:ctrlPr>
                      <w:rPr>
                        <w:rFonts w:ascii="Cambria Math" w:hAnsi="Cambria Math"/>
                        <w:i/>
                        <w:szCs w:val="24"/>
                      </w:rPr>
                    </m:ctrlPr>
                  </m:sub>
                </m:sSub>
                <m:ctrlPr>
                  <w:rPr>
                    <w:rFonts w:ascii="Cambria Math" w:hAnsi="Cambria Math"/>
                    <w:i/>
                    <w:szCs w:val="24"/>
                  </w:rPr>
                </m:ctrlPr>
              </m:e>
            </m:d>
            <m:sSub>
              <m:sSubPr>
                <m:ctrlPr>
                  <w:rPr>
                    <w:rFonts w:ascii="Cambria Math" w:hAnsi="Cambria Math"/>
                    <w:i/>
                    <w:szCs w:val="24"/>
                  </w:rPr>
                </m:ctrlPr>
              </m:sSubPr>
              <m:e>
                <m:r>
                  <m:rPr/>
                  <w:rPr>
                    <w:rFonts w:ascii="Cambria Math" w:hAnsi="Cambria Math"/>
                    <w:szCs w:val="24"/>
                  </w:rPr>
                  <m:t>m</m:t>
                </m:r>
                <m:ctrlPr>
                  <w:rPr>
                    <w:rFonts w:ascii="Cambria Math" w:hAnsi="Cambria Math"/>
                    <w:i/>
                    <w:szCs w:val="24"/>
                  </w:rPr>
                </m:ctrlPr>
              </m:e>
              <m:sub>
                <m:r>
                  <m:rPr/>
                  <w:rPr>
                    <w:rFonts w:ascii="Cambria Math" w:hAnsi="Cambria Math"/>
                    <w:szCs w:val="24"/>
                  </w:rPr>
                  <m:t>0</m:t>
                </m:r>
                <m:ctrlPr>
                  <w:rPr>
                    <w:rFonts w:ascii="Cambria Math" w:hAnsi="Cambria Math"/>
                    <w:i/>
                    <w:szCs w:val="24"/>
                  </w:rPr>
                </m:ctrlPr>
              </m:sub>
            </m:sSub>
            <m:sSub>
              <m:sSubPr>
                <m:ctrlPr>
                  <w:rPr>
                    <w:rFonts w:ascii="Cambria Math" w:hAnsi="Cambria Math"/>
                    <w:i/>
                    <w:szCs w:val="24"/>
                  </w:rPr>
                </m:ctrlPr>
              </m:sSubPr>
              <m:e>
                <m:r>
                  <m:rPr/>
                  <w:rPr>
                    <w:rFonts w:ascii="Cambria Math" w:hAnsi="Cambria Math"/>
                    <w:szCs w:val="24"/>
                  </w:rPr>
                  <m:t>V</m:t>
                </m:r>
                <m:ctrlPr>
                  <w:rPr>
                    <w:rFonts w:ascii="Cambria Math" w:hAnsi="Cambria Math"/>
                    <w:i/>
                    <w:szCs w:val="24"/>
                  </w:rPr>
                </m:ctrlPr>
              </m:e>
              <m:sub>
                <m:r>
                  <m:rPr/>
                  <w:rPr>
                    <w:rFonts w:ascii="Cambria Math" w:hAnsi="Cambria Math"/>
                    <w:szCs w:val="24"/>
                  </w:rPr>
                  <m:t>0</m:t>
                </m:r>
                <m:ctrlPr>
                  <w:rPr>
                    <w:rFonts w:ascii="Cambria Math" w:hAnsi="Cambria Math"/>
                    <w:i/>
                    <w:szCs w:val="24"/>
                  </w:rPr>
                </m:ctrlPr>
              </m:sub>
            </m:sSub>
            <m:ctrlPr>
              <w:rPr>
                <w:rFonts w:ascii="Cambria Math" w:hAnsi="Cambria Math"/>
                <w:szCs w:val="24"/>
              </w:rPr>
            </m:ctrlPr>
          </m:num>
          <m:den>
            <m:d>
              <m:dPr>
                <m:ctrlPr>
                  <w:rPr>
                    <w:rFonts w:ascii="Cambria Math" w:hAnsi="Cambria Math"/>
                    <w:i/>
                    <w:szCs w:val="24"/>
                  </w:rPr>
                </m:ctrlPr>
              </m:dPr>
              <m:e>
                <m:sSub>
                  <m:sSubPr>
                    <m:ctrlPr>
                      <w:rPr>
                        <w:rFonts w:ascii="Cambria Math" w:hAnsi="Cambria Math"/>
                        <w:i/>
                        <w:szCs w:val="24"/>
                      </w:rPr>
                    </m:ctrlPr>
                  </m:sSubPr>
                  <m:e>
                    <m:r>
                      <m:rPr/>
                      <w:rPr>
                        <w:rFonts w:ascii="Cambria Math" w:hAnsi="Cambria Math"/>
                        <w:szCs w:val="24"/>
                      </w:rPr>
                      <m:t>m</m:t>
                    </m:r>
                    <m:ctrlPr>
                      <w:rPr>
                        <w:rFonts w:ascii="Cambria Math" w:hAnsi="Cambria Math"/>
                        <w:i/>
                        <w:szCs w:val="24"/>
                      </w:rPr>
                    </m:ctrlPr>
                  </m:e>
                  <m:sub>
                    <m:r>
                      <m:rPr/>
                      <w:rPr>
                        <w:rFonts w:ascii="Cambria Math" w:hAnsi="Cambria Math"/>
                        <w:szCs w:val="24"/>
                      </w:rPr>
                      <m:t>0</m:t>
                    </m:r>
                    <m:ctrlPr>
                      <w:rPr>
                        <w:rFonts w:ascii="Cambria Math" w:hAnsi="Cambria Math"/>
                        <w:i/>
                        <w:szCs w:val="24"/>
                      </w:rPr>
                    </m:ctrlPr>
                  </m:sub>
                </m:sSub>
                <m:r>
                  <m:rPr/>
                  <w:rPr>
                    <w:rFonts w:ascii="Cambria Math" w:hAnsi="Cambria Math"/>
                    <w:szCs w:val="24"/>
                  </w:rPr>
                  <m:t>+</m:t>
                </m:r>
                <m:sSub>
                  <m:sSubPr>
                    <m:ctrlPr>
                      <w:rPr>
                        <w:rFonts w:ascii="Cambria Math" w:hAnsi="Cambria Math"/>
                        <w:i/>
                        <w:szCs w:val="24"/>
                      </w:rPr>
                    </m:ctrlPr>
                  </m:sSubPr>
                  <m:e>
                    <m:r>
                      <m:rPr/>
                      <w:rPr>
                        <w:rFonts w:ascii="Cambria Math" w:hAnsi="Cambria Math"/>
                        <w:szCs w:val="24"/>
                      </w:rPr>
                      <m:t>m</m:t>
                    </m:r>
                    <m:ctrlPr>
                      <w:rPr>
                        <w:rFonts w:ascii="Cambria Math" w:hAnsi="Cambria Math"/>
                        <w:i/>
                        <w:szCs w:val="24"/>
                      </w:rPr>
                    </m:ctrlPr>
                  </m:e>
                  <m:sub>
                    <m:r>
                      <m:rPr/>
                      <w:rPr>
                        <w:rFonts w:ascii="Cambria Math" w:hAnsi="Cambria Math"/>
                        <w:szCs w:val="24"/>
                      </w:rPr>
                      <m:t>s</m:t>
                    </m:r>
                    <m:ctrlPr>
                      <w:rPr>
                        <w:rFonts w:ascii="Cambria Math" w:hAnsi="Cambria Math"/>
                        <w:i/>
                        <w:szCs w:val="24"/>
                      </w:rPr>
                    </m:ctrlPr>
                  </m:sub>
                </m:sSub>
                <m:ctrlPr>
                  <w:rPr>
                    <w:rFonts w:ascii="Cambria Math" w:hAnsi="Cambria Math"/>
                    <w:i/>
                    <w:szCs w:val="24"/>
                  </w:rPr>
                </m:ctrlPr>
              </m:e>
            </m:d>
            <m:sSub>
              <m:sSubPr>
                <m:ctrlPr>
                  <w:rPr>
                    <w:rFonts w:ascii="Cambria Math" w:hAnsi="Cambria Math"/>
                    <w:i/>
                    <w:szCs w:val="24"/>
                  </w:rPr>
                </m:ctrlPr>
              </m:sSubPr>
              <m:e>
                <m:r>
                  <m:rPr/>
                  <w:rPr>
                    <w:rFonts w:ascii="Cambria Math" w:hAnsi="Cambria Math"/>
                    <w:szCs w:val="24"/>
                  </w:rPr>
                  <m:t>ω</m:t>
                </m:r>
                <m:ctrlPr>
                  <w:rPr>
                    <w:rFonts w:ascii="Cambria Math" w:hAnsi="Cambria Math"/>
                    <w:i/>
                    <w:szCs w:val="24"/>
                  </w:rPr>
                </m:ctrlPr>
              </m:e>
              <m:sub>
                <m:r>
                  <m:rPr/>
                  <w:rPr>
                    <w:rFonts w:ascii="Cambria Math" w:hAnsi="Cambria Math"/>
                    <w:szCs w:val="24"/>
                  </w:rPr>
                  <m:t>n</m:t>
                </m:r>
                <m:ctrlPr>
                  <w:rPr>
                    <w:rFonts w:ascii="Cambria Math" w:hAnsi="Cambria Math"/>
                    <w:i/>
                    <w:szCs w:val="24"/>
                  </w:rPr>
                </m:ctrlPr>
              </m:sub>
            </m:sSub>
            <m:ctrlPr>
              <w:rPr>
                <w:rFonts w:ascii="Cambria Math" w:hAnsi="Cambria Math"/>
                <w:szCs w:val="24"/>
              </w:rPr>
            </m:ctrlPr>
          </m:den>
        </m:f>
        <m:r>
          <m:rPr>
            <m:sty m:val="p"/>
          </m:rPr>
          <w:rPr>
            <w:rFonts w:ascii="Cambria Math" w:hAnsi="Cambria Math"/>
            <w:szCs w:val="24"/>
          </w:rPr>
          <m:t>exp</m:t>
        </m:r>
        <m:d>
          <m:dPr>
            <m:begChr m:val="["/>
            <m:endChr m:val="]"/>
            <m:ctrlPr>
              <w:rPr>
                <w:rFonts w:ascii="Cambria Math" w:hAnsi="Cambria Math"/>
                <w:szCs w:val="24"/>
              </w:rPr>
            </m:ctrlPr>
          </m:dPr>
          <m:e>
            <m:r>
              <m:rPr/>
              <w:rPr>
                <w:rFonts w:ascii="Cambria Math" w:hAnsi="Cambria Math"/>
                <w:szCs w:val="24"/>
              </w:rPr>
              <m:t>−</m:t>
            </m:r>
            <m:sSub>
              <m:sSubPr>
                <m:ctrlPr>
                  <w:rPr>
                    <w:rFonts w:ascii="Cambria Math" w:hAnsi="Cambria Math"/>
                    <w:i/>
                    <w:szCs w:val="24"/>
                  </w:rPr>
                </m:ctrlPr>
              </m:sSubPr>
              <m:e>
                <m:r>
                  <m:rPr/>
                  <w:rPr>
                    <w:rFonts w:ascii="Cambria Math" w:hAnsi="Cambria Math"/>
                    <w:szCs w:val="24"/>
                  </w:rPr>
                  <m:t>ξ</m:t>
                </m:r>
                <m:ctrlPr>
                  <w:rPr>
                    <w:rFonts w:ascii="Cambria Math" w:hAnsi="Cambria Math"/>
                    <w:i/>
                    <w:szCs w:val="24"/>
                  </w:rPr>
                </m:ctrlPr>
              </m:e>
              <m:sub>
                <m:r>
                  <m:rPr/>
                  <w:rPr>
                    <w:rFonts w:ascii="Cambria Math" w:hAnsi="Cambria Math"/>
                    <w:szCs w:val="24"/>
                  </w:rPr>
                  <m:t>z</m:t>
                </m:r>
                <m:ctrlPr>
                  <w:rPr>
                    <w:rFonts w:ascii="Cambria Math" w:hAnsi="Cambria Math"/>
                    <w:i/>
                    <w:szCs w:val="24"/>
                  </w:rPr>
                </m:ctrlPr>
              </m:sub>
            </m:sSub>
            <m:f>
              <m:fPr>
                <m:ctrlPr>
                  <w:rPr>
                    <w:rFonts w:ascii="Cambria Math" w:hAnsi="Cambria Math"/>
                    <w:i/>
                    <w:szCs w:val="24"/>
                  </w:rPr>
                </m:ctrlPr>
              </m:fPr>
              <m:num>
                <m:r>
                  <m:rPr/>
                  <w:rPr>
                    <w:rFonts w:ascii="Cambria Math" w:hAnsi="Cambria Math"/>
                    <w:szCs w:val="24"/>
                  </w:rPr>
                  <m:t>π</m:t>
                </m:r>
                <m:ctrlPr>
                  <w:rPr>
                    <w:rFonts w:ascii="Cambria Math" w:hAnsi="Cambria Math"/>
                    <w:i/>
                    <w:szCs w:val="24"/>
                  </w:rPr>
                </m:ctrlPr>
              </m:num>
              <m:den>
                <m:r>
                  <m:rPr/>
                  <w:rPr>
                    <w:rFonts w:ascii="Cambria Math" w:hAnsi="Cambria Math"/>
                    <w:szCs w:val="24"/>
                  </w:rPr>
                  <m:t>2</m:t>
                </m:r>
                <m:ctrlPr>
                  <w:rPr>
                    <w:rFonts w:ascii="Cambria Math" w:hAnsi="Cambria Math"/>
                    <w:i/>
                    <w:szCs w:val="24"/>
                  </w:rPr>
                </m:ctrlPr>
              </m:den>
            </m:f>
            <m:ctrlPr>
              <w:rPr>
                <w:rFonts w:ascii="Cambria Math" w:hAnsi="Cambria Math"/>
                <w:szCs w:val="24"/>
              </w:rPr>
            </m:ctrlPr>
          </m:e>
        </m:d>
      </m:oMath>
      <w:r>
        <w:rPr>
          <w:rFonts w:hint="eastAsia" w:ascii="宋体" w:hAnsi="宋体"/>
          <w:szCs w:val="24"/>
        </w:rPr>
        <w:t xml:space="preserve"> </w:t>
      </w:r>
      <w:r>
        <w:rPr>
          <w:rFonts w:ascii="宋体" w:hAnsi="宋体"/>
          <w:szCs w:val="24"/>
        </w:rPr>
        <w:t xml:space="preserve">           </w:t>
      </w:r>
      <w:r>
        <w:rPr>
          <w:rFonts w:ascii="宋体" w:hAnsi="宋体"/>
          <w:szCs w:val="24"/>
        </w:rPr>
        <w:tab/>
      </w:r>
      <w:r>
        <w:rPr>
          <w:rFonts w:hint="eastAsia" w:ascii="宋体" w:hAnsi="宋体"/>
          <w:szCs w:val="24"/>
        </w:rPr>
        <w:t>（</w:t>
      </w:r>
      <w:r>
        <w:rPr>
          <w:rFonts w:ascii="宋体" w:hAnsi="宋体"/>
          <w:szCs w:val="24"/>
        </w:rPr>
        <w:t>9.3.</w:t>
      </w:r>
      <w:r>
        <w:rPr>
          <w:rFonts w:hint="eastAsia" w:ascii="宋体" w:hAnsi="宋体"/>
          <w:szCs w:val="24"/>
        </w:rPr>
        <w:t>3</w:t>
      </w:r>
      <w:r>
        <w:rPr>
          <w:rFonts w:ascii="宋体" w:hAnsi="宋体"/>
          <w:szCs w:val="24"/>
        </w:rPr>
        <w:t>-1</w:t>
      </w:r>
      <w:r>
        <w:rPr>
          <w:rFonts w:hint="eastAsia" w:ascii="宋体" w:hAnsi="宋体"/>
          <w:szCs w:val="24"/>
        </w:rPr>
        <w:t>）</w:t>
      </w:r>
    </w:p>
    <w:p w14:paraId="5BD67A38">
      <w:pPr>
        <w:wordWrap w:val="0"/>
        <w:spacing w:before="156"/>
        <w:ind w:firstLine="480"/>
        <w:jc w:val="right"/>
        <w:rPr>
          <w:rFonts w:ascii="宋体" w:hAnsi="宋体"/>
          <w:szCs w:val="24"/>
        </w:rPr>
      </w:pPr>
      <m:oMath>
        <m:sSub>
          <m:sSubPr>
            <m:ctrlPr>
              <w:rPr>
                <w:rFonts w:ascii="Cambria Math" w:hAnsi="Cambria Math"/>
                <w:szCs w:val="24"/>
              </w:rPr>
            </m:ctrlPr>
          </m:sSubPr>
          <m:e>
            <m:r>
              <m:rPr/>
              <w:rPr>
                <w:rFonts w:ascii="Cambria Math" w:hAnsi="Cambria Math"/>
                <w:szCs w:val="24"/>
              </w:rPr>
              <m:t>ω</m:t>
            </m:r>
            <m:ctrlPr>
              <w:rPr>
                <w:rFonts w:ascii="Cambria Math" w:hAnsi="Cambria Math"/>
                <w:szCs w:val="24"/>
              </w:rPr>
            </m:ctrlPr>
          </m:e>
          <m:sub>
            <m:r>
              <m:rPr/>
              <w:rPr>
                <w:rFonts w:ascii="Cambria Math" w:hAnsi="Cambria Math"/>
                <w:szCs w:val="24"/>
              </w:rPr>
              <m:t>n</m:t>
            </m:r>
            <m:ctrlPr>
              <w:rPr>
                <w:rFonts w:ascii="Cambria Math" w:hAnsi="Cambria Math"/>
                <w:szCs w:val="24"/>
              </w:rPr>
            </m:ctrlPr>
          </m:sub>
        </m:sSub>
        <m:r>
          <m:rPr/>
          <w:rPr>
            <w:rFonts w:ascii="Cambria Math" w:hAnsi="Cambria Math"/>
            <w:szCs w:val="24"/>
          </w:rPr>
          <m:t>=</m:t>
        </m:r>
        <m:rad>
          <m:radPr>
            <m:degHide m:val="1"/>
            <m:ctrlPr>
              <w:rPr>
                <w:rFonts w:ascii="Cambria Math" w:hAnsi="Cambria Math"/>
                <w:i/>
                <w:szCs w:val="24"/>
              </w:rPr>
            </m:ctrlPr>
          </m:radPr>
          <m:deg>
            <m:ctrlPr>
              <w:rPr>
                <w:rFonts w:ascii="Cambria Math" w:hAnsi="Cambria Math"/>
                <w:i/>
                <w:szCs w:val="24"/>
              </w:rPr>
            </m:ctrlPr>
          </m:deg>
          <m:e>
            <m:f>
              <m:fPr>
                <m:ctrlPr>
                  <w:rPr>
                    <w:rFonts w:ascii="Cambria Math" w:hAnsi="Cambria Math"/>
                    <w:i/>
                    <w:szCs w:val="24"/>
                  </w:rPr>
                </m:ctrlPr>
              </m:fPr>
              <m:num>
                <m:sSub>
                  <m:sSubPr>
                    <m:ctrlPr>
                      <w:rPr>
                        <w:rFonts w:ascii="Cambria Math" w:hAnsi="Cambria Math"/>
                        <w:i/>
                        <w:szCs w:val="24"/>
                      </w:rPr>
                    </m:ctrlPr>
                  </m:sSubPr>
                  <m:e>
                    <m:r>
                      <m:rPr/>
                      <w:rPr>
                        <w:rFonts w:ascii="Cambria Math" w:hAnsi="Cambria Math"/>
                        <w:szCs w:val="24"/>
                      </w:rPr>
                      <m:t>K</m:t>
                    </m:r>
                    <m:ctrlPr>
                      <w:rPr>
                        <w:rFonts w:ascii="Cambria Math" w:hAnsi="Cambria Math"/>
                        <w:i/>
                        <w:szCs w:val="24"/>
                      </w:rPr>
                    </m:ctrlPr>
                  </m:e>
                  <m:sub>
                    <m:r>
                      <m:rPr/>
                      <w:rPr>
                        <w:rFonts w:ascii="Cambria Math" w:hAnsi="Cambria Math"/>
                        <w:szCs w:val="24"/>
                      </w:rPr>
                      <m:t>1</m:t>
                    </m:r>
                    <m:ctrlPr>
                      <w:rPr>
                        <w:rFonts w:ascii="Cambria Math" w:hAnsi="Cambria Math"/>
                        <w:i/>
                        <w:szCs w:val="24"/>
                      </w:rPr>
                    </m:ctrlPr>
                  </m:sub>
                </m:sSub>
                <m:ctrlPr>
                  <w:rPr>
                    <w:rFonts w:ascii="Cambria Math" w:hAnsi="Cambria Math"/>
                    <w:i/>
                    <w:szCs w:val="24"/>
                  </w:rPr>
                </m:ctrlPr>
              </m:num>
              <m:den>
                <m:sSub>
                  <m:sSubPr>
                    <m:ctrlPr>
                      <w:rPr>
                        <w:rFonts w:ascii="Cambria Math" w:hAnsi="Cambria Math"/>
                        <w:i/>
                        <w:szCs w:val="24"/>
                      </w:rPr>
                    </m:ctrlPr>
                  </m:sSubPr>
                  <m:e>
                    <m:r>
                      <m:rPr/>
                      <w:rPr>
                        <w:rFonts w:ascii="Cambria Math" w:hAnsi="Cambria Math"/>
                        <w:szCs w:val="24"/>
                      </w:rPr>
                      <m:t>m</m:t>
                    </m:r>
                    <m:ctrlPr>
                      <w:rPr>
                        <w:rFonts w:ascii="Cambria Math" w:hAnsi="Cambria Math"/>
                        <w:i/>
                        <w:szCs w:val="24"/>
                      </w:rPr>
                    </m:ctrlPr>
                  </m:e>
                  <m:sub>
                    <m:r>
                      <m:rPr/>
                      <w:rPr>
                        <w:rFonts w:ascii="Cambria Math" w:hAnsi="Cambria Math"/>
                        <w:szCs w:val="24"/>
                      </w:rPr>
                      <m:t>s</m:t>
                    </m:r>
                    <m:ctrlPr>
                      <w:rPr>
                        <w:rFonts w:ascii="Cambria Math" w:hAnsi="Cambria Math"/>
                        <w:i/>
                        <w:szCs w:val="24"/>
                      </w:rPr>
                    </m:ctrlPr>
                  </m:sub>
                </m:sSub>
                <m:ctrlPr>
                  <w:rPr>
                    <w:rFonts w:ascii="Cambria Math" w:hAnsi="Cambria Math"/>
                    <w:i/>
                    <w:szCs w:val="24"/>
                  </w:rPr>
                </m:ctrlPr>
              </m:den>
            </m:f>
            <m:ctrlPr>
              <w:rPr>
                <w:rFonts w:ascii="Cambria Math" w:hAnsi="Cambria Math"/>
                <w:i/>
                <w:szCs w:val="24"/>
              </w:rPr>
            </m:ctrlPr>
          </m:e>
        </m:rad>
      </m:oMath>
      <w:r>
        <w:rPr>
          <w:rFonts w:ascii="宋体" w:hAnsi="宋体"/>
          <w:szCs w:val="24"/>
        </w:rPr>
        <w:tab/>
      </w:r>
      <w:r>
        <w:rPr>
          <w:rFonts w:ascii="宋体" w:hAnsi="宋体"/>
          <w:szCs w:val="24"/>
        </w:rPr>
        <w:t xml:space="preserve">                          </w:t>
      </w:r>
      <w:r>
        <w:rPr>
          <w:rFonts w:hint="eastAsia" w:ascii="宋体" w:hAnsi="宋体"/>
          <w:szCs w:val="24"/>
        </w:rPr>
        <w:t>（</w:t>
      </w:r>
      <w:r>
        <w:rPr>
          <w:rFonts w:ascii="宋体" w:hAnsi="宋体"/>
          <w:szCs w:val="24"/>
        </w:rPr>
        <w:t>9.3.</w:t>
      </w:r>
      <w:r>
        <w:rPr>
          <w:rFonts w:hint="eastAsia" w:ascii="宋体" w:hAnsi="宋体"/>
          <w:szCs w:val="24"/>
        </w:rPr>
        <w:t>3</w:t>
      </w:r>
      <w:r>
        <w:rPr>
          <w:rFonts w:ascii="宋体" w:hAnsi="宋体"/>
          <w:szCs w:val="24"/>
        </w:rPr>
        <w:t>-2</w:t>
      </w:r>
      <w:r>
        <w:rPr>
          <w:rFonts w:hint="eastAsia" w:ascii="宋体" w:hAnsi="宋体"/>
          <w:szCs w:val="24"/>
        </w:rPr>
        <w:t>）</w:t>
      </w:r>
    </w:p>
    <w:p w14:paraId="4E1B962D">
      <w:pPr>
        <w:wordWrap w:val="0"/>
        <w:spacing w:before="156"/>
        <w:ind w:firstLine="480"/>
        <w:jc w:val="right"/>
        <w:rPr>
          <w:rFonts w:ascii="宋体" w:hAnsi="宋体"/>
          <w:szCs w:val="24"/>
        </w:rPr>
      </w:pPr>
      <m:oMath>
        <m:sSub>
          <m:sSubPr>
            <m:ctrlPr>
              <w:rPr>
                <w:rFonts w:ascii="Cambria Math" w:hAnsi="Cambria Math"/>
                <w:szCs w:val="24"/>
              </w:rPr>
            </m:ctrlPr>
          </m:sSubPr>
          <m:e>
            <m:r>
              <m:rPr/>
              <w:rPr>
                <w:rFonts w:ascii="Cambria Math" w:hAnsi="Cambria Math"/>
                <w:szCs w:val="24"/>
              </w:rPr>
              <m:t>ξ</m:t>
            </m:r>
            <m:ctrlPr>
              <w:rPr>
                <w:rFonts w:ascii="Cambria Math" w:hAnsi="Cambria Math"/>
                <w:szCs w:val="24"/>
              </w:rPr>
            </m:ctrlPr>
          </m:e>
          <m:sub>
            <m:r>
              <m:rPr/>
              <w:rPr>
                <w:rFonts w:ascii="Cambria Math" w:hAnsi="Cambria Math"/>
                <w:szCs w:val="24"/>
              </w:rPr>
              <m:t>z</m:t>
            </m:r>
            <m:ctrlPr>
              <w:rPr>
                <w:rFonts w:ascii="Cambria Math" w:hAnsi="Cambria Math"/>
                <w:szCs w:val="24"/>
              </w:rPr>
            </m:ctrlPr>
          </m:sub>
        </m:sSub>
        <m:r>
          <m:rP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m:rPr/>
                  <w:rPr>
                    <w:rFonts w:ascii="Cambria Math" w:hAnsi="Cambria Math"/>
                    <w:szCs w:val="24"/>
                  </w:rPr>
                  <m:t>C</m:t>
                </m:r>
                <m:ctrlPr>
                  <w:rPr>
                    <w:rFonts w:ascii="Cambria Math" w:hAnsi="Cambria Math"/>
                    <w:i/>
                    <w:szCs w:val="24"/>
                  </w:rPr>
                </m:ctrlPr>
              </m:e>
              <m:sub>
                <m:r>
                  <m:rPr/>
                  <w:rPr>
                    <w:rFonts w:ascii="Cambria Math" w:hAnsi="Cambria Math"/>
                    <w:szCs w:val="24"/>
                  </w:rPr>
                  <m:t>z</m:t>
                </m:r>
                <m:ctrlPr>
                  <w:rPr>
                    <w:rFonts w:ascii="Cambria Math" w:hAnsi="Cambria Math"/>
                    <w:i/>
                    <w:szCs w:val="24"/>
                  </w:rPr>
                </m:ctrlPr>
              </m:sub>
            </m:sSub>
            <m:ctrlPr>
              <w:rPr>
                <w:rFonts w:ascii="Cambria Math" w:hAnsi="Cambria Math"/>
                <w:i/>
                <w:szCs w:val="24"/>
              </w:rPr>
            </m:ctrlPr>
          </m:num>
          <m:den>
            <m:r>
              <m:rPr/>
              <w:rPr>
                <w:rFonts w:ascii="Cambria Math" w:hAnsi="Cambria Math"/>
                <w:szCs w:val="24"/>
              </w:rPr>
              <m:t>2</m:t>
            </m:r>
            <m:rad>
              <m:radPr>
                <m:degHide m:val="1"/>
                <m:ctrlPr>
                  <w:rPr>
                    <w:rFonts w:ascii="Cambria Math" w:hAnsi="Cambria Math"/>
                    <w:i/>
                    <w:szCs w:val="24"/>
                  </w:rPr>
                </m:ctrlPr>
              </m:radPr>
              <m:deg>
                <m:ctrlPr>
                  <w:rPr>
                    <w:rFonts w:ascii="Cambria Math" w:hAnsi="Cambria Math"/>
                    <w:i/>
                    <w:szCs w:val="24"/>
                  </w:rPr>
                </m:ctrlPr>
              </m:deg>
              <m:e>
                <m:sSub>
                  <m:sSubPr>
                    <m:ctrlPr>
                      <w:rPr>
                        <w:rFonts w:ascii="Cambria Math" w:hAnsi="Cambria Math"/>
                        <w:i/>
                        <w:szCs w:val="24"/>
                      </w:rPr>
                    </m:ctrlPr>
                  </m:sSubPr>
                  <m:e>
                    <m:r>
                      <m:rPr/>
                      <w:rPr>
                        <w:rFonts w:ascii="Cambria Math" w:hAnsi="Cambria Math"/>
                        <w:szCs w:val="24"/>
                      </w:rPr>
                      <m:t>m</m:t>
                    </m:r>
                    <m:ctrlPr>
                      <w:rPr>
                        <w:rFonts w:ascii="Cambria Math" w:hAnsi="Cambria Math"/>
                        <w:i/>
                        <w:szCs w:val="24"/>
                      </w:rPr>
                    </m:ctrlPr>
                  </m:e>
                  <m:sub>
                    <m:r>
                      <m:rPr/>
                      <w:rPr>
                        <w:rFonts w:ascii="Cambria Math" w:hAnsi="Cambria Math"/>
                        <w:szCs w:val="24"/>
                      </w:rPr>
                      <m:t>s</m:t>
                    </m:r>
                    <m:ctrlPr>
                      <w:rPr>
                        <w:rFonts w:ascii="Cambria Math" w:hAnsi="Cambria Math"/>
                        <w:i/>
                        <w:szCs w:val="24"/>
                      </w:rPr>
                    </m:ctrlPr>
                  </m:sub>
                </m:sSub>
                <m:sSub>
                  <m:sSubPr>
                    <m:ctrlPr>
                      <w:rPr>
                        <w:rFonts w:ascii="Cambria Math" w:hAnsi="Cambria Math"/>
                        <w:i/>
                        <w:szCs w:val="24"/>
                      </w:rPr>
                    </m:ctrlPr>
                  </m:sSubPr>
                  <m:e>
                    <m:r>
                      <m:rPr/>
                      <w:rPr>
                        <w:rFonts w:ascii="Cambria Math" w:hAnsi="Cambria Math"/>
                        <w:szCs w:val="24"/>
                      </w:rPr>
                      <m:t>K</m:t>
                    </m:r>
                    <m:ctrlPr>
                      <w:rPr>
                        <w:rFonts w:ascii="Cambria Math" w:hAnsi="Cambria Math"/>
                        <w:i/>
                        <w:szCs w:val="24"/>
                      </w:rPr>
                    </m:ctrlPr>
                  </m:e>
                  <m:sub>
                    <m:r>
                      <m:rPr/>
                      <w:rPr>
                        <w:rFonts w:ascii="Cambria Math" w:hAnsi="Cambria Math"/>
                        <w:szCs w:val="24"/>
                      </w:rPr>
                      <m:t>1</m:t>
                    </m:r>
                    <m:ctrlPr>
                      <w:rPr>
                        <w:rFonts w:ascii="Cambria Math" w:hAnsi="Cambria Math"/>
                        <w:i/>
                        <w:szCs w:val="24"/>
                      </w:rPr>
                    </m:ctrlPr>
                  </m:sub>
                </m:sSub>
                <m:ctrlPr>
                  <w:rPr>
                    <w:rFonts w:ascii="Cambria Math" w:hAnsi="Cambria Math"/>
                    <w:i/>
                    <w:szCs w:val="24"/>
                  </w:rPr>
                </m:ctrlPr>
              </m:e>
            </m:rad>
            <m:ctrlPr>
              <w:rPr>
                <w:rFonts w:ascii="Cambria Math" w:hAnsi="Cambria Math"/>
                <w:i/>
                <w:szCs w:val="24"/>
              </w:rPr>
            </m:ctrlPr>
          </m:den>
        </m:f>
      </m:oMath>
      <w:r>
        <w:rPr>
          <w:rFonts w:ascii="宋体" w:hAnsi="宋体"/>
          <w:szCs w:val="24"/>
        </w:rPr>
        <w:tab/>
      </w:r>
      <w:r>
        <w:rPr>
          <w:rFonts w:ascii="宋体" w:hAnsi="宋体"/>
          <w:szCs w:val="24"/>
        </w:rPr>
        <w:t xml:space="preserve">                            </w:t>
      </w:r>
      <w:r>
        <w:rPr>
          <w:rFonts w:hint="eastAsia" w:ascii="宋体" w:hAnsi="宋体"/>
          <w:szCs w:val="24"/>
        </w:rPr>
        <w:t>（</w:t>
      </w:r>
      <w:r>
        <w:rPr>
          <w:rFonts w:ascii="宋体" w:hAnsi="宋体"/>
          <w:szCs w:val="24"/>
        </w:rPr>
        <w:t>9.3.</w:t>
      </w:r>
      <w:r>
        <w:rPr>
          <w:rFonts w:hint="eastAsia" w:ascii="宋体" w:hAnsi="宋体"/>
          <w:szCs w:val="24"/>
        </w:rPr>
        <w:t>3</w:t>
      </w:r>
      <w:r>
        <w:rPr>
          <w:rFonts w:ascii="宋体" w:hAnsi="宋体"/>
          <w:szCs w:val="24"/>
        </w:rPr>
        <w:t>-3</w:t>
      </w:r>
      <w:r>
        <w:rPr>
          <w:rFonts w:hint="eastAsia" w:ascii="宋体" w:hAnsi="宋体"/>
          <w:szCs w:val="24"/>
        </w:rPr>
        <w:t>）</w:t>
      </w:r>
    </w:p>
    <w:p w14:paraId="135D2267">
      <w:pPr>
        <w:spacing w:before="156"/>
        <w:ind w:firstLine="480"/>
        <w:rPr>
          <w:rFonts w:ascii="宋体" w:hAnsi="宋体"/>
          <w:szCs w:val="24"/>
        </w:rPr>
      </w:pPr>
      <w:r>
        <w:rPr>
          <w:rFonts w:ascii="宋体" w:hAnsi="宋体"/>
          <w:szCs w:val="24"/>
        </w:rPr>
        <w:t>式中</w:t>
      </w:r>
      <w:r>
        <w:rPr>
          <w:rFonts w:hint="eastAsia" w:ascii="宋体" w:hAnsi="宋体"/>
          <w:szCs w:val="24"/>
        </w:rPr>
        <w:t xml:space="preserve"> </w:t>
      </w:r>
      <w:r>
        <w:rPr>
          <w:rFonts w:ascii="宋体" w:hAnsi="宋体"/>
          <w:szCs w:val="24"/>
        </w:rPr>
        <w:t xml:space="preserve"> A</w:t>
      </w:r>
      <w:r>
        <w:rPr>
          <w:rFonts w:ascii="宋体" w:hAnsi="宋体"/>
          <w:szCs w:val="24"/>
          <w:vertAlign w:val="subscript"/>
        </w:rPr>
        <w:t>z1</w:t>
      </w:r>
      <w:r>
        <w:rPr>
          <w:rFonts w:ascii="宋体" w:hAnsi="宋体"/>
          <w:szCs w:val="24"/>
        </w:rPr>
        <w:t>—</w:t>
      </w:r>
      <w:r>
        <w:rPr>
          <w:rFonts w:hint="eastAsia" w:ascii="宋体" w:hAnsi="宋体"/>
          <w:szCs w:val="24"/>
        </w:rPr>
        <w:t xml:space="preserve"> 砧座的最大竖向振动位移(</w:t>
      </w:r>
      <w:r>
        <w:rPr>
          <w:rFonts w:ascii="宋体" w:hAnsi="宋体"/>
          <w:szCs w:val="24"/>
        </w:rPr>
        <w:t>m)</w:t>
      </w:r>
      <w:r>
        <w:rPr>
          <w:rFonts w:hint="eastAsia" w:ascii="宋体" w:hAnsi="宋体"/>
          <w:szCs w:val="24"/>
        </w:rPr>
        <w:t>；</w:t>
      </w:r>
    </w:p>
    <w:p w14:paraId="76FD8C07">
      <w:pPr>
        <w:spacing w:before="156"/>
        <w:ind w:firstLine="480"/>
        <w:rPr>
          <w:rFonts w:ascii="宋体" w:hAnsi="宋体"/>
          <w:szCs w:val="24"/>
        </w:rPr>
      </w:pPr>
      <w:r>
        <w:rPr>
          <w:rFonts w:ascii="宋体" w:hAnsi="宋体"/>
          <w:szCs w:val="24"/>
        </w:rPr>
        <w:t>m</w:t>
      </w:r>
      <w:r>
        <w:rPr>
          <w:rFonts w:ascii="宋体" w:hAnsi="宋体"/>
          <w:szCs w:val="24"/>
          <w:vertAlign w:val="subscript"/>
        </w:rPr>
        <w:t>0</w:t>
      </w:r>
      <w:r>
        <w:rPr>
          <w:rFonts w:hint="eastAsia" w:ascii="宋体" w:hAnsi="宋体"/>
          <w:szCs w:val="24"/>
        </w:rPr>
        <w:t>— 锻锤落下部分重量(kg</w:t>
      </w:r>
      <w:r>
        <w:rPr>
          <w:rFonts w:ascii="宋体" w:hAnsi="宋体"/>
          <w:szCs w:val="24"/>
        </w:rPr>
        <w:t>)</w:t>
      </w:r>
      <w:r>
        <w:rPr>
          <w:rFonts w:hint="eastAsia" w:ascii="宋体" w:hAnsi="宋体"/>
          <w:szCs w:val="24"/>
        </w:rPr>
        <w:t>；</w:t>
      </w:r>
    </w:p>
    <w:p w14:paraId="77F1D4BD">
      <w:pPr>
        <w:spacing w:before="156"/>
        <w:ind w:firstLine="480"/>
        <w:rPr>
          <w:rFonts w:ascii="宋体" w:hAnsi="宋体"/>
          <w:szCs w:val="24"/>
        </w:rPr>
      </w:pPr>
      <w:r>
        <w:rPr>
          <w:rFonts w:ascii="宋体" w:hAnsi="宋体"/>
          <w:szCs w:val="24"/>
        </w:rPr>
        <w:t>m</w:t>
      </w:r>
      <w:r>
        <w:rPr>
          <w:rFonts w:hint="eastAsia" w:ascii="宋体" w:hAnsi="宋体"/>
          <w:szCs w:val="24"/>
          <w:vertAlign w:val="subscript"/>
        </w:rPr>
        <w:t>s</w:t>
      </w:r>
      <w:r>
        <w:rPr>
          <w:rFonts w:hint="eastAsia" w:ascii="宋体" w:hAnsi="宋体"/>
          <w:szCs w:val="24"/>
        </w:rPr>
        <w:t xml:space="preserve">— </w:t>
      </w:r>
      <w:r>
        <w:rPr>
          <w:rFonts w:ascii="宋体" w:hAnsi="宋体"/>
          <w:szCs w:val="24"/>
        </w:rPr>
        <w:t>隔振器上部支撑总</w:t>
      </w:r>
      <w:r>
        <w:rPr>
          <w:rFonts w:hint="eastAsia" w:ascii="宋体" w:hAnsi="宋体"/>
          <w:szCs w:val="24"/>
        </w:rPr>
        <w:t>重量(kg</w:t>
      </w:r>
      <w:r>
        <w:rPr>
          <w:rFonts w:ascii="宋体" w:hAnsi="宋体"/>
          <w:szCs w:val="24"/>
        </w:rPr>
        <w:t>)</w:t>
      </w:r>
      <w:r>
        <w:rPr>
          <w:rFonts w:hint="eastAsia" w:ascii="宋体" w:hAnsi="宋体"/>
          <w:szCs w:val="24"/>
        </w:rPr>
        <w:t>；</w:t>
      </w:r>
    </w:p>
    <w:p w14:paraId="137B3B97">
      <w:pPr>
        <w:spacing w:before="156"/>
        <w:ind w:firstLine="480"/>
        <w:rPr>
          <w:rFonts w:ascii="宋体" w:hAnsi="宋体"/>
          <w:szCs w:val="24"/>
        </w:rPr>
      </w:pPr>
      <w:r>
        <w:rPr>
          <w:rFonts w:ascii="宋体" w:hAnsi="宋体"/>
          <w:szCs w:val="24"/>
        </w:rPr>
        <w:t>V</w:t>
      </w:r>
      <w:r>
        <w:rPr>
          <w:rFonts w:ascii="宋体" w:hAnsi="宋体"/>
          <w:szCs w:val="24"/>
          <w:vertAlign w:val="subscript"/>
        </w:rPr>
        <w:t>0</w:t>
      </w:r>
      <w:r>
        <w:rPr>
          <w:rFonts w:hint="eastAsia" w:ascii="宋体" w:hAnsi="宋体"/>
          <w:szCs w:val="24"/>
        </w:rPr>
        <w:t>— 落下部分的最大冲击速度(</w:t>
      </w:r>
      <w:r>
        <w:rPr>
          <w:rFonts w:ascii="宋体" w:hAnsi="宋体"/>
          <w:szCs w:val="24"/>
        </w:rPr>
        <w:t>m/s)</w:t>
      </w:r>
      <w:r>
        <w:rPr>
          <w:rFonts w:hint="eastAsia" w:ascii="宋体" w:hAnsi="宋体"/>
          <w:szCs w:val="24"/>
        </w:rPr>
        <w:t>；</w:t>
      </w:r>
    </w:p>
    <w:p w14:paraId="79A9DD1A">
      <w:pPr>
        <w:spacing w:before="156"/>
        <w:ind w:firstLine="480"/>
        <w:rPr>
          <w:rFonts w:ascii="宋体" w:hAnsi="宋体"/>
          <w:szCs w:val="24"/>
        </w:rPr>
      </w:pPr>
      <w:r>
        <w:rPr>
          <w:rFonts w:ascii="宋体" w:hAnsi="宋体"/>
          <w:szCs w:val="24"/>
        </w:rPr>
        <w:t>e</w:t>
      </w:r>
      <w:r>
        <w:rPr>
          <w:rFonts w:ascii="宋体" w:hAnsi="宋体"/>
          <w:szCs w:val="24"/>
          <w:vertAlign w:val="subscript"/>
        </w:rPr>
        <w:t>1</w:t>
      </w:r>
      <w:r>
        <w:rPr>
          <w:rFonts w:hint="eastAsia" w:ascii="宋体" w:hAnsi="宋体"/>
          <w:szCs w:val="24"/>
        </w:rPr>
        <w:t xml:space="preserve">— </w:t>
      </w:r>
      <w:r>
        <w:rPr>
          <w:rFonts w:ascii="宋体" w:hAnsi="宋体"/>
          <w:szCs w:val="24"/>
        </w:rPr>
        <w:t>回弹系数</w:t>
      </w:r>
      <w:r>
        <w:rPr>
          <w:rFonts w:hint="eastAsia" w:ascii="宋体" w:hAnsi="宋体"/>
          <w:szCs w:val="24"/>
        </w:rPr>
        <w:t>，模锻锤取0</w:t>
      </w:r>
      <w:r>
        <w:rPr>
          <w:rFonts w:ascii="宋体" w:hAnsi="宋体"/>
          <w:szCs w:val="24"/>
        </w:rPr>
        <w:t>.5，自由锻锤取</w:t>
      </w:r>
      <w:r>
        <w:rPr>
          <w:rFonts w:hint="eastAsia" w:ascii="宋体" w:hAnsi="宋体"/>
          <w:szCs w:val="24"/>
        </w:rPr>
        <w:t>0</w:t>
      </w:r>
      <w:r>
        <w:rPr>
          <w:rFonts w:ascii="宋体" w:hAnsi="宋体"/>
          <w:szCs w:val="24"/>
        </w:rPr>
        <w:t>.25，锻打有色金属时取</w:t>
      </w:r>
      <w:r>
        <w:rPr>
          <w:rFonts w:hint="eastAsia" w:ascii="宋体" w:hAnsi="宋体"/>
          <w:szCs w:val="24"/>
        </w:rPr>
        <w:t>0；</w:t>
      </w:r>
    </w:p>
    <w:p w14:paraId="04943911">
      <w:pPr>
        <w:spacing w:before="156"/>
        <w:ind w:firstLine="480"/>
        <w:rPr>
          <w:rFonts w:ascii="宋体" w:hAnsi="宋体"/>
          <w:szCs w:val="24"/>
        </w:rPr>
      </w:pPr>
      <w:r>
        <w:rPr>
          <w:rFonts w:ascii="宋体" w:hAnsi="宋体"/>
          <w:szCs w:val="24"/>
        </w:rPr>
        <w:t>K</w:t>
      </w:r>
      <w:r>
        <w:rPr>
          <w:rFonts w:ascii="宋体" w:hAnsi="宋体"/>
          <w:szCs w:val="24"/>
          <w:vertAlign w:val="subscript"/>
        </w:rPr>
        <w:t>1</w:t>
      </w:r>
      <w:r>
        <w:rPr>
          <w:rFonts w:hint="eastAsia" w:ascii="宋体" w:hAnsi="宋体"/>
          <w:szCs w:val="24"/>
        </w:rPr>
        <w:t>— 隔振器的竖向支撑总刚度(</w:t>
      </w:r>
      <w:r>
        <w:rPr>
          <w:rFonts w:ascii="宋体" w:hAnsi="宋体"/>
          <w:szCs w:val="24"/>
        </w:rPr>
        <w:t>N/m)</w:t>
      </w:r>
      <w:r>
        <w:rPr>
          <w:rFonts w:hint="eastAsia" w:ascii="宋体" w:hAnsi="宋体"/>
          <w:szCs w:val="24"/>
        </w:rPr>
        <w:t>；</w:t>
      </w:r>
    </w:p>
    <w:p w14:paraId="455DF626">
      <w:pPr>
        <w:spacing w:before="156"/>
        <w:ind w:firstLine="480"/>
        <w:rPr>
          <w:rFonts w:ascii="宋体" w:hAnsi="宋体"/>
          <w:szCs w:val="24"/>
        </w:rPr>
      </w:pPr>
      <m:oMath>
        <m:r>
          <m:rPr>
            <m:sty m:val="p"/>
          </m:rPr>
          <w:rPr>
            <w:rFonts w:ascii="Cambria Math" w:hAnsi="Cambria Math" w:cstheme="minorHAnsi"/>
            <w:szCs w:val="24"/>
          </w:rPr>
          <m:t>ξ</m:t>
        </m:r>
      </m:oMath>
      <w:r>
        <w:rPr>
          <w:rFonts w:ascii="宋体" w:hAnsi="宋体"/>
          <w:szCs w:val="24"/>
          <w:vertAlign w:val="subscript"/>
        </w:rPr>
        <w:t>z</w:t>
      </w:r>
      <w:r>
        <w:rPr>
          <w:rFonts w:hint="eastAsia" w:ascii="宋体" w:hAnsi="宋体"/>
          <w:szCs w:val="24"/>
        </w:rPr>
        <w:t>— 隔振系统的阻尼比；</w:t>
      </w:r>
    </w:p>
    <w:p w14:paraId="40B8F9C1">
      <w:pPr>
        <w:spacing w:before="156"/>
        <w:ind w:firstLine="480"/>
        <w:rPr>
          <w:rFonts w:ascii="宋体" w:hAnsi="宋体"/>
          <w:szCs w:val="24"/>
        </w:rPr>
      </w:pPr>
      <w:r>
        <w:rPr>
          <w:rFonts w:ascii="宋体" w:hAnsi="宋体"/>
          <w:szCs w:val="24"/>
        </w:rPr>
        <w:t>C</w:t>
      </w:r>
      <w:r>
        <w:rPr>
          <w:rFonts w:ascii="宋体" w:hAnsi="宋体"/>
          <w:szCs w:val="24"/>
          <w:vertAlign w:val="subscript"/>
        </w:rPr>
        <w:t>z</w:t>
      </w:r>
      <w:r>
        <w:rPr>
          <w:rFonts w:hint="eastAsia" w:ascii="宋体" w:hAnsi="宋体"/>
          <w:szCs w:val="24"/>
        </w:rPr>
        <w:t>— 隔振器的竖向阻尼系数(</w:t>
      </w:r>
      <w:r>
        <w:rPr>
          <w:rFonts w:ascii="宋体" w:hAnsi="宋体"/>
          <w:szCs w:val="24"/>
        </w:rPr>
        <w:t>N</w:t>
      </w:r>
      <w:r>
        <w:rPr>
          <w:rFonts w:ascii="宋体" w:hAnsi="宋体" w:cstheme="minorHAnsi"/>
          <w:szCs w:val="24"/>
        </w:rPr>
        <w:t>•</w:t>
      </w:r>
      <w:r>
        <w:rPr>
          <w:rFonts w:ascii="宋体" w:hAnsi="宋体"/>
          <w:szCs w:val="24"/>
        </w:rPr>
        <w:t>s/m)</w:t>
      </w:r>
      <w:r>
        <w:rPr>
          <w:rFonts w:hint="eastAsia" w:ascii="宋体" w:hAnsi="宋体"/>
          <w:szCs w:val="24"/>
        </w:rPr>
        <w:t>；</w:t>
      </w:r>
    </w:p>
    <w:p w14:paraId="135234D0">
      <w:pPr>
        <w:spacing w:before="156"/>
        <w:ind w:firstLine="480"/>
        <w:rPr>
          <w:rFonts w:ascii="宋体" w:hAnsi="宋体"/>
          <w:szCs w:val="24"/>
        </w:rPr>
      </w:pPr>
      <w:r>
        <w:rPr>
          <w:rFonts w:hint="eastAsia" w:ascii="宋体" w:hAnsi="宋体"/>
          <w:szCs w:val="24"/>
        </w:rPr>
        <w:t>9</w:t>
      </w:r>
      <w:r>
        <w:rPr>
          <w:rFonts w:ascii="宋体" w:hAnsi="宋体"/>
          <w:szCs w:val="24"/>
        </w:rPr>
        <w:t>.3.4 隔振基础地基的最大竖向振动位移可按下列公式计算：</w:t>
      </w:r>
    </w:p>
    <w:p w14:paraId="53C0BEEB">
      <w:pPr>
        <w:spacing w:before="156"/>
        <w:ind w:firstLine="480"/>
        <w:jc w:val="right"/>
        <w:rPr>
          <w:rFonts w:ascii="宋体" w:hAnsi="宋体"/>
          <w:szCs w:val="24"/>
        </w:rPr>
      </w:pPr>
      <m:oMath>
        <m:sSub>
          <m:sSubPr>
            <m:ctrlPr>
              <w:rPr>
                <w:rFonts w:ascii="Cambria Math" w:hAnsi="Cambria Math"/>
                <w:szCs w:val="24"/>
              </w:rPr>
            </m:ctrlPr>
          </m:sSubPr>
          <m:e>
            <m:r>
              <m:rPr/>
              <w:rPr>
                <w:rFonts w:ascii="Cambria Math" w:hAnsi="Cambria Math"/>
                <w:szCs w:val="24"/>
              </w:rPr>
              <m:t>A</m:t>
            </m:r>
            <m:ctrlPr>
              <w:rPr>
                <w:rFonts w:ascii="Cambria Math" w:hAnsi="Cambria Math"/>
                <w:szCs w:val="24"/>
              </w:rPr>
            </m:ctrlPr>
          </m:e>
          <m:sub>
            <m:r>
              <m:rPr/>
              <w:rPr>
                <w:rFonts w:hint="eastAsia" w:ascii="Cambria Math" w:hAnsi="Cambria Math"/>
                <w:szCs w:val="24"/>
              </w:rPr>
              <m:t>z</m:t>
            </m:r>
            <m:r>
              <m:rPr/>
              <w:rPr>
                <w:rFonts w:ascii="Cambria Math" w:hAnsi="Cambria Math"/>
                <w:szCs w:val="24"/>
              </w:rPr>
              <m:t>2</m:t>
            </m:r>
            <m:ctrlPr>
              <w:rPr>
                <w:rFonts w:ascii="Cambria Math" w:hAnsi="Cambria Math"/>
                <w:szCs w:val="24"/>
              </w:rPr>
            </m:ctrlP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i/>
                    <w:szCs w:val="24"/>
                  </w:rPr>
                </m:ctrlPr>
              </m:sSubPr>
              <m:e>
                <m:r>
                  <m:rPr/>
                  <w:rPr>
                    <w:rFonts w:ascii="Cambria Math" w:hAnsi="Cambria Math"/>
                    <w:szCs w:val="24"/>
                  </w:rPr>
                  <m:t>K</m:t>
                </m:r>
                <m:ctrlPr>
                  <w:rPr>
                    <w:rFonts w:ascii="Cambria Math" w:hAnsi="Cambria Math"/>
                    <w:i/>
                    <w:szCs w:val="24"/>
                  </w:rPr>
                </m:ctrlPr>
              </m:e>
              <m:sub>
                <m:r>
                  <m:rPr/>
                  <w:rPr>
                    <w:rFonts w:ascii="Cambria Math" w:hAnsi="Cambria Math"/>
                    <w:szCs w:val="24"/>
                  </w:rPr>
                  <m:t>1</m:t>
                </m:r>
                <m:ctrlPr>
                  <w:rPr>
                    <w:rFonts w:ascii="Cambria Math" w:hAnsi="Cambria Math"/>
                    <w:i/>
                    <w:szCs w:val="24"/>
                  </w:rPr>
                </m:ctrlPr>
              </m:sub>
            </m:sSub>
            <m:d>
              <m:dPr>
                <m:ctrlPr>
                  <w:rPr>
                    <w:rFonts w:ascii="Cambria Math" w:hAnsi="Cambria Math"/>
                    <w:i/>
                    <w:szCs w:val="24"/>
                  </w:rPr>
                </m:ctrlPr>
              </m:dPr>
              <m:e>
                <m:r>
                  <m:rPr/>
                  <w:rPr>
                    <w:rFonts w:ascii="Cambria Math" w:hAnsi="Cambria Math"/>
                    <w:szCs w:val="24"/>
                  </w:rPr>
                  <m:t>1+</m:t>
                </m:r>
                <m:sSub>
                  <m:sSubPr>
                    <m:ctrlPr>
                      <w:rPr>
                        <w:rFonts w:ascii="Cambria Math" w:hAnsi="Cambria Math"/>
                        <w:i/>
                        <w:szCs w:val="24"/>
                      </w:rPr>
                    </m:ctrlPr>
                  </m:sSubPr>
                  <m:e>
                    <m:r>
                      <m:rPr/>
                      <w:rPr>
                        <w:rFonts w:ascii="Cambria Math" w:hAnsi="Cambria Math"/>
                        <w:szCs w:val="24"/>
                      </w:rPr>
                      <m:t>e</m:t>
                    </m:r>
                    <m:ctrlPr>
                      <w:rPr>
                        <w:rFonts w:ascii="Cambria Math" w:hAnsi="Cambria Math"/>
                        <w:i/>
                        <w:szCs w:val="24"/>
                      </w:rPr>
                    </m:ctrlPr>
                  </m:e>
                  <m:sub>
                    <m:r>
                      <m:rPr/>
                      <w:rPr>
                        <w:rFonts w:ascii="Cambria Math" w:hAnsi="Cambria Math"/>
                        <w:szCs w:val="24"/>
                      </w:rPr>
                      <m:t>1</m:t>
                    </m:r>
                    <m:ctrlPr>
                      <w:rPr>
                        <w:rFonts w:ascii="Cambria Math" w:hAnsi="Cambria Math"/>
                        <w:i/>
                        <w:szCs w:val="24"/>
                      </w:rPr>
                    </m:ctrlPr>
                  </m:sub>
                </m:sSub>
                <m:ctrlPr>
                  <w:rPr>
                    <w:rFonts w:ascii="Cambria Math" w:hAnsi="Cambria Math"/>
                    <w:i/>
                    <w:szCs w:val="24"/>
                  </w:rPr>
                </m:ctrlPr>
              </m:e>
            </m:d>
            <m:sSub>
              <m:sSubPr>
                <m:ctrlPr>
                  <w:rPr>
                    <w:rFonts w:ascii="Cambria Math" w:hAnsi="Cambria Math"/>
                    <w:i/>
                    <w:szCs w:val="24"/>
                  </w:rPr>
                </m:ctrlPr>
              </m:sSubPr>
              <m:e>
                <m:r>
                  <m:rPr/>
                  <w:rPr>
                    <w:rFonts w:ascii="Cambria Math" w:hAnsi="Cambria Math"/>
                    <w:szCs w:val="24"/>
                  </w:rPr>
                  <m:t>m</m:t>
                </m:r>
                <m:ctrlPr>
                  <w:rPr>
                    <w:rFonts w:ascii="Cambria Math" w:hAnsi="Cambria Math"/>
                    <w:i/>
                    <w:szCs w:val="24"/>
                  </w:rPr>
                </m:ctrlPr>
              </m:e>
              <m:sub>
                <m:r>
                  <m:rPr/>
                  <w:rPr>
                    <w:rFonts w:ascii="Cambria Math" w:hAnsi="Cambria Math"/>
                    <w:szCs w:val="24"/>
                  </w:rPr>
                  <m:t>0</m:t>
                </m:r>
                <m:ctrlPr>
                  <w:rPr>
                    <w:rFonts w:ascii="Cambria Math" w:hAnsi="Cambria Math"/>
                    <w:i/>
                    <w:szCs w:val="24"/>
                  </w:rPr>
                </m:ctrlPr>
              </m:sub>
            </m:sSub>
            <m:sSub>
              <m:sSubPr>
                <m:ctrlPr>
                  <w:rPr>
                    <w:rFonts w:ascii="Cambria Math" w:hAnsi="Cambria Math"/>
                    <w:i/>
                    <w:szCs w:val="24"/>
                  </w:rPr>
                </m:ctrlPr>
              </m:sSubPr>
              <m:e>
                <m:r>
                  <m:rPr/>
                  <w:rPr>
                    <w:rFonts w:ascii="Cambria Math" w:hAnsi="Cambria Math"/>
                    <w:szCs w:val="24"/>
                  </w:rPr>
                  <m:t>V</m:t>
                </m:r>
                <m:ctrlPr>
                  <w:rPr>
                    <w:rFonts w:ascii="Cambria Math" w:hAnsi="Cambria Math"/>
                    <w:i/>
                    <w:szCs w:val="24"/>
                  </w:rPr>
                </m:ctrlPr>
              </m:e>
              <m:sub>
                <m:r>
                  <m:rPr/>
                  <w:rPr>
                    <w:rFonts w:ascii="Cambria Math" w:hAnsi="Cambria Math"/>
                    <w:szCs w:val="24"/>
                  </w:rPr>
                  <m:t>0</m:t>
                </m:r>
                <m:ctrlPr>
                  <w:rPr>
                    <w:rFonts w:ascii="Cambria Math" w:hAnsi="Cambria Math"/>
                    <w:i/>
                    <w:szCs w:val="24"/>
                  </w:rPr>
                </m:ctrlPr>
              </m:sub>
            </m:sSub>
            <m:ctrlPr>
              <w:rPr>
                <w:rFonts w:ascii="Cambria Math" w:hAnsi="Cambria Math"/>
                <w:szCs w:val="24"/>
              </w:rPr>
            </m:ctrlPr>
          </m:num>
          <m:den>
            <m:sSub>
              <m:sSubPr>
                <m:ctrlPr>
                  <w:rPr>
                    <w:rFonts w:ascii="Cambria Math" w:hAnsi="Cambria Math"/>
                    <w:i/>
                    <w:szCs w:val="24"/>
                  </w:rPr>
                </m:ctrlPr>
              </m:sSubPr>
              <m:e>
                <m:r>
                  <m:rPr/>
                  <w:rPr>
                    <w:rFonts w:ascii="Cambria Math" w:hAnsi="Cambria Math"/>
                    <w:szCs w:val="24"/>
                  </w:rPr>
                  <m:t>K</m:t>
                </m:r>
                <m:ctrlPr>
                  <w:rPr>
                    <w:rFonts w:ascii="Cambria Math" w:hAnsi="Cambria Math"/>
                    <w:i/>
                    <w:szCs w:val="24"/>
                  </w:rPr>
                </m:ctrlPr>
              </m:e>
              <m:sub>
                <m:r>
                  <m:rPr/>
                  <w:rPr>
                    <w:rFonts w:ascii="Cambria Math" w:hAnsi="Cambria Math"/>
                    <w:szCs w:val="24"/>
                  </w:rPr>
                  <m:t>2</m:t>
                </m:r>
                <m:ctrlPr>
                  <w:rPr>
                    <w:rFonts w:ascii="Cambria Math" w:hAnsi="Cambria Math"/>
                    <w:i/>
                    <w:szCs w:val="24"/>
                  </w:rPr>
                </m:ctrlPr>
              </m:sub>
            </m:sSub>
            <m:d>
              <m:dPr>
                <m:ctrlPr>
                  <w:rPr>
                    <w:rFonts w:ascii="Cambria Math" w:hAnsi="Cambria Math"/>
                    <w:i/>
                    <w:szCs w:val="24"/>
                  </w:rPr>
                </m:ctrlPr>
              </m:dPr>
              <m:e>
                <m:sSub>
                  <m:sSubPr>
                    <m:ctrlPr>
                      <w:rPr>
                        <w:rFonts w:ascii="Cambria Math" w:hAnsi="Cambria Math"/>
                        <w:i/>
                        <w:szCs w:val="24"/>
                      </w:rPr>
                    </m:ctrlPr>
                  </m:sSubPr>
                  <m:e>
                    <m:r>
                      <m:rPr/>
                      <w:rPr>
                        <w:rFonts w:ascii="Cambria Math" w:hAnsi="Cambria Math"/>
                        <w:szCs w:val="24"/>
                      </w:rPr>
                      <m:t>m</m:t>
                    </m:r>
                    <m:ctrlPr>
                      <w:rPr>
                        <w:rFonts w:ascii="Cambria Math" w:hAnsi="Cambria Math"/>
                        <w:i/>
                        <w:szCs w:val="24"/>
                      </w:rPr>
                    </m:ctrlPr>
                  </m:e>
                  <m:sub>
                    <m:r>
                      <m:rPr/>
                      <w:rPr>
                        <w:rFonts w:ascii="Cambria Math" w:hAnsi="Cambria Math"/>
                        <w:szCs w:val="24"/>
                      </w:rPr>
                      <m:t>0</m:t>
                    </m:r>
                    <m:ctrlPr>
                      <w:rPr>
                        <w:rFonts w:ascii="Cambria Math" w:hAnsi="Cambria Math"/>
                        <w:i/>
                        <w:szCs w:val="24"/>
                      </w:rPr>
                    </m:ctrlPr>
                  </m:sub>
                </m:sSub>
                <m:r>
                  <m:rPr/>
                  <w:rPr>
                    <w:rFonts w:ascii="Cambria Math" w:hAnsi="Cambria Math"/>
                    <w:szCs w:val="24"/>
                  </w:rPr>
                  <m:t>+</m:t>
                </m:r>
                <m:sSub>
                  <m:sSubPr>
                    <m:ctrlPr>
                      <w:rPr>
                        <w:rFonts w:ascii="Cambria Math" w:hAnsi="Cambria Math"/>
                        <w:i/>
                        <w:szCs w:val="24"/>
                      </w:rPr>
                    </m:ctrlPr>
                  </m:sSubPr>
                  <m:e>
                    <m:r>
                      <m:rPr/>
                      <w:rPr>
                        <w:rFonts w:ascii="Cambria Math" w:hAnsi="Cambria Math"/>
                        <w:szCs w:val="24"/>
                      </w:rPr>
                      <m:t>m</m:t>
                    </m:r>
                    <m:ctrlPr>
                      <w:rPr>
                        <w:rFonts w:ascii="Cambria Math" w:hAnsi="Cambria Math"/>
                        <w:i/>
                        <w:szCs w:val="24"/>
                      </w:rPr>
                    </m:ctrlPr>
                  </m:e>
                  <m:sub>
                    <m:r>
                      <m:rPr/>
                      <w:rPr>
                        <w:rFonts w:ascii="Cambria Math" w:hAnsi="Cambria Math"/>
                        <w:szCs w:val="24"/>
                      </w:rPr>
                      <m:t>s</m:t>
                    </m:r>
                    <m:ctrlPr>
                      <w:rPr>
                        <w:rFonts w:ascii="Cambria Math" w:hAnsi="Cambria Math"/>
                        <w:i/>
                        <w:szCs w:val="24"/>
                      </w:rPr>
                    </m:ctrlPr>
                  </m:sub>
                </m:sSub>
                <m:ctrlPr>
                  <w:rPr>
                    <w:rFonts w:ascii="Cambria Math" w:hAnsi="Cambria Math"/>
                    <w:i/>
                    <w:szCs w:val="24"/>
                  </w:rPr>
                </m:ctrlPr>
              </m:e>
            </m:d>
            <m:sSub>
              <m:sSubPr>
                <m:ctrlPr>
                  <w:rPr>
                    <w:rFonts w:ascii="Cambria Math" w:hAnsi="Cambria Math"/>
                    <w:i/>
                    <w:szCs w:val="24"/>
                  </w:rPr>
                </m:ctrlPr>
              </m:sSubPr>
              <m:e>
                <m:r>
                  <m:rPr/>
                  <w:rPr>
                    <w:rFonts w:ascii="Cambria Math" w:hAnsi="Cambria Math"/>
                    <w:szCs w:val="24"/>
                  </w:rPr>
                  <m:t>ω</m:t>
                </m:r>
                <m:ctrlPr>
                  <w:rPr>
                    <w:rFonts w:ascii="Cambria Math" w:hAnsi="Cambria Math"/>
                    <w:i/>
                    <w:szCs w:val="24"/>
                  </w:rPr>
                </m:ctrlPr>
              </m:e>
              <m:sub>
                <m:r>
                  <m:rPr/>
                  <w:rPr>
                    <w:rFonts w:ascii="Cambria Math" w:hAnsi="Cambria Math"/>
                    <w:szCs w:val="24"/>
                  </w:rPr>
                  <m:t>n</m:t>
                </m:r>
                <m:ctrlPr>
                  <w:rPr>
                    <w:rFonts w:ascii="Cambria Math" w:hAnsi="Cambria Math"/>
                    <w:i/>
                    <w:szCs w:val="24"/>
                  </w:rPr>
                </m:ctrlPr>
              </m:sub>
            </m:sSub>
            <m:ctrlPr>
              <w:rPr>
                <w:rFonts w:ascii="Cambria Math" w:hAnsi="Cambria Math"/>
                <w:szCs w:val="24"/>
              </w:rPr>
            </m:ctrlPr>
          </m:den>
        </m:f>
        <m:rad>
          <m:radPr>
            <m:degHide m:val="1"/>
            <m:ctrlPr>
              <w:rPr>
                <w:rFonts w:ascii="Cambria Math" w:hAnsi="Cambria Math"/>
                <w:szCs w:val="24"/>
              </w:rPr>
            </m:ctrlPr>
          </m:radPr>
          <m:deg>
            <m:ctrlPr>
              <w:rPr>
                <w:rFonts w:ascii="Cambria Math" w:hAnsi="Cambria Math"/>
                <w:szCs w:val="24"/>
              </w:rPr>
            </m:ctrlPr>
          </m:deg>
          <m:e>
            <m:r>
              <m:rPr/>
              <w:rPr>
                <w:rFonts w:ascii="Cambria Math" w:hAnsi="Cambria Math"/>
                <w:szCs w:val="24"/>
              </w:rPr>
              <m:t>1+4</m:t>
            </m:r>
            <m:sSubSup>
              <m:sSubSupPr>
                <m:ctrlPr>
                  <w:rPr>
                    <w:rFonts w:ascii="Cambria Math" w:hAnsi="Cambria Math"/>
                    <w:i/>
                    <w:szCs w:val="24"/>
                  </w:rPr>
                </m:ctrlPr>
              </m:sSubSupPr>
              <m:e>
                <m:r>
                  <m:rPr/>
                  <w:rPr>
                    <w:rFonts w:ascii="Cambria Math" w:hAnsi="Cambria Math"/>
                    <w:szCs w:val="24"/>
                  </w:rPr>
                  <m:t>ξ</m:t>
                </m:r>
                <m:ctrlPr>
                  <w:rPr>
                    <w:rFonts w:ascii="Cambria Math" w:hAnsi="Cambria Math"/>
                    <w:i/>
                    <w:szCs w:val="24"/>
                  </w:rPr>
                </m:ctrlPr>
              </m:e>
              <m:sub>
                <m:r>
                  <m:rPr/>
                  <w:rPr>
                    <w:rFonts w:ascii="Cambria Math" w:hAnsi="Cambria Math"/>
                    <w:szCs w:val="24"/>
                  </w:rPr>
                  <m:t>z</m:t>
                </m:r>
                <m:ctrlPr>
                  <w:rPr>
                    <w:rFonts w:ascii="Cambria Math" w:hAnsi="Cambria Math"/>
                    <w:i/>
                    <w:szCs w:val="24"/>
                  </w:rPr>
                </m:ctrlPr>
              </m:sub>
              <m:sup>
                <m:r>
                  <m:rPr/>
                  <w:rPr>
                    <w:rFonts w:ascii="Cambria Math" w:hAnsi="Cambria Math"/>
                    <w:szCs w:val="24"/>
                  </w:rPr>
                  <m:t>2</m:t>
                </m:r>
                <m:ctrlPr>
                  <w:rPr>
                    <w:rFonts w:ascii="Cambria Math" w:hAnsi="Cambria Math"/>
                    <w:i/>
                    <w:szCs w:val="24"/>
                  </w:rPr>
                </m:ctrlPr>
              </m:sup>
            </m:sSubSup>
            <m:ctrlPr>
              <w:rPr>
                <w:rFonts w:ascii="Cambria Math" w:hAnsi="Cambria Math"/>
                <w:szCs w:val="24"/>
              </w:rPr>
            </m:ctrlPr>
          </m:e>
        </m:rad>
        <m:r>
          <m:rPr>
            <m:sty m:val="p"/>
          </m:rPr>
          <w:rPr>
            <w:rFonts w:ascii="Cambria Math" w:hAnsi="Cambria Math"/>
            <w:szCs w:val="24"/>
          </w:rPr>
          <m:t>exp</m:t>
        </m:r>
        <m:d>
          <m:dPr>
            <m:begChr m:val="["/>
            <m:endChr m:val="]"/>
            <m:ctrlPr>
              <w:rPr>
                <w:rFonts w:ascii="Cambria Math" w:hAnsi="Cambria Math"/>
                <w:szCs w:val="24"/>
              </w:rPr>
            </m:ctrlPr>
          </m:dPr>
          <m:e>
            <m:r>
              <m:rPr/>
              <w:rPr>
                <w:rFonts w:ascii="Cambria Math" w:hAnsi="Cambria Math"/>
                <w:szCs w:val="24"/>
              </w:rPr>
              <m:t>−</m:t>
            </m:r>
            <m:sSub>
              <m:sSubPr>
                <m:ctrlPr>
                  <w:rPr>
                    <w:rFonts w:ascii="Cambria Math" w:hAnsi="Cambria Math"/>
                    <w:i/>
                    <w:szCs w:val="24"/>
                  </w:rPr>
                </m:ctrlPr>
              </m:sSubPr>
              <m:e>
                <m:r>
                  <m:rPr/>
                  <w:rPr>
                    <w:rFonts w:ascii="Cambria Math" w:hAnsi="Cambria Math"/>
                    <w:szCs w:val="24"/>
                  </w:rPr>
                  <m:t>ξ</m:t>
                </m:r>
                <m:ctrlPr>
                  <w:rPr>
                    <w:rFonts w:ascii="Cambria Math" w:hAnsi="Cambria Math"/>
                    <w:i/>
                    <w:szCs w:val="24"/>
                  </w:rPr>
                </m:ctrlPr>
              </m:e>
              <m:sub>
                <m:r>
                  <m:rPr/>
                  <w:rPr>
                    <w:rFonts w:ascii="Cambria Math" w:hAnsi="Cambria Math"/>
                    <w:szCs w:val="24"/>
                  </w:rPr>
                  <m:t>z</m:t>
                </m:r>
                <m:ctrlPr>
                  <w:rPr>
                    <w:rFonts w:ascii="Cambria Math" w:hAnsi="Cambria Math"/>
                    <w:i/>
                    <w:szCs w:val="24"/>
                  </w:rPr>
                </m:ctrlPr>
              </m:sub>
            </m:sSub>
            <m:d>
              <m:dPr>
                <m:ctrlPr>
                  <w:rPr>
                    <w:rFonts w:ascii="Cambria Math" w:hAnsi="Cambria Math"/>
                    <w:i/>
                    <w:szCs w:val="24"/>
                  </w:rPr>
                </m:ctrlPr>
              </m:dPr>
              <m:e>
                <m:f>
                  <m:fPr>
                    <m:ctrlPr>
                      <w:rPr>
                        <w:rFonts w:ascii="Cambria Math" w:hAnsi="Cambria Math"/>
                        <w:i/>
                        <w:szCs w:val="24"/>
                      </w:rPr>
                    </m:ctrlPr>
                  </m:fPr>
                  <m:num>
                    <m:r>
                      <m:rPr/>
                      <w:rPr>
                        <w:rFonts w:ascii="Cambria Math" w:hAnsi="Cambria Math"/>
                        <w:szCs w:val="24"/>
                      </w:rPr>
                      <m:t>π</m:t>
                    </m:r>
                    <m:ctrlPr>
                      <w:rPr>
                        <w:rFonts w:ascii="Cambria Math" w:hAnsi="Cambria Math"/>
                        <w:i/>
                        <w:szCs w:val="24"/>
                      </w:rPr>
                    </m:ctrlPr>
                  </m:num>
                  <m:den>
                    <m:r>
                      <m:rPr/>
                      <w:rPr>
                        <w:rFonts w:ascii="Cambria Math" w:hAnsi="Cambria Math"/>
                        <w:szCs w:val="24"/>
                      </w:rPr>
                      <m:t>2</m:t>
                    </m:r>
                    <m:ctrlPr>
                      <w:rPr>
                        <w:rFonts w:ascii="Cambria Math" w:hAnsi="Cambria Math"/>
                        <w:i/>
                        <w:szCs w:val="24"/>
                      </w:rPr>
                    </m:ctrlPr>
                  </m:den>
                </m:f>
                <m:r>
                  <m:rPr/>
                  <w:rPr>
                    <w:rFonts w:ascii="Cambria Math" w:hAnsi="Cambria Math"/>
                    <w:szCs w:val="24"/>
                  </w:rPr>
                  <m:t>−</m:t>
                </m:r>
                <m:sSup>
                  <m:sSupPr>
                    <m:ctrlPr>
                      <w:rPr>
                        <w:rFonts w:ascii="Cambria Math" w:hAnsi="Cambria Math"/>
                        <w:i/>
                        <w:szCs w:val="24"/>
                      </w:rPr>
                    </m:ctrlPr>
                  </m:sSupPr>
                  <m:e>
                    <m:r>
                      <m:rPr/>
                      <w:rPr>
                        <w:rFonts w:ascii="Cambria Math" w:hAnsi="Cambria Math"/>
                        <w:szCs w:val="24"/>
                      </w:rPr>
                      <m:t>tan</m:t>
                    </m:r>
                    <m:ctrlPr>
                      <w:rPr>
                        <w:rFonts w:ascii="Cambria Math" w:hAnsi="Cambria Math"/>
                        <w:i/>
                        <w:szCs w:val="24"/>
                      </w:rPr>
                    </m:ctrlPr>
                  </m:e>
                  <m:sup>
                    <m:r>
                      <m:rPr/>
                      <w:rPr>
                        <w:rFonts w:ascii="Cambria Math" w:hAnsi="Cambria Math"/>
                        <w:szCs w:val="24"/>
                      </w:rPr>
                      <m:t>−1</m:t>
                    </m:r>
                    <m:ctrlPr>
                      <w:rPr>
                        <w:rFonts w:ascii="Cambria Math" w:hAnsi="Cambria Math"/>
                        <w:i/>
                        <w:szCs w:val="24"/>
                      </w:rPr>
                    </m:ctrlPr>
                  </m:sup>
                </m:sSup>
                <m:r>
                  <m:rPr/>
                  <w:rPr>
                    <w:rFonts w:ascii="Cambria Math" w:hAnsi="Cambria Math"/>
                    <w:szCs w:val="24"/>
                  </w:rPr>
                  <m:t>2</m:t>
                </m:r>
                <m:sSub>
                  <m:sSubPr>
                    <m:ctrlPr>
                      <w:rPr>
                        <w:rFonts w:ascii="Cambria Math" w:hAnsi="Cambria Math"/>
                        <w:i/>
                        <w:szCs w:val="24"/>
                      </w:rPr>
                    </m:ctrlPr>
                  </m:sSubPr>
                  <m:e>
                    <m:r>
                      <m:rPr/>
                      <w:rPr>
                        <w:rFonts w:ascii="Cambria Math" w:hAnsi="Cambria Math"/>
                        <w:szCs w:val="24"/>
                      </w:rPr>
                      <m:t>ξ</m:t>
                    </m:r>
                    <m:ctrlPr>
                      <w:rPr>
                        <w:rFonts w:ascii="Cambria Math" w:hAnsi="Cambria Math"/>
                        <w:i/>
                        <w:szCs w:val="24"/>
                      </w:rPr>
                    </m:ctrlPr>
                  </m:e>
                  <m:sub>
                    <m:r>
                      <m:rPr/>
                      <w:rPr>
                        <w:rFonts w:ascii="Cambria Math" w:hAnsi="Cambria Math"/>
                        <w:szCs w:val="24"/>
                      </w:rPr>
                      <m:t>z</m:t>
                    </m:r>
                    <m:ctrlPr>
                      <w:rPr>
                        <w:rFonts w:ascii="Cambria Math" w:hAnsi="Cambria Math"/>
                        <w:i/>
                        <w:szCs w:val="24"/>
                      </w:rPr>
                    </m:ctrlPr>
                  </m:sub>
                </m:sSub>
                <m:ctrlPr>
                  <w:rPr>
                    <w:rFonts w:ascii="Cambria Math" w:hAnsi="Cambria Math"/>
                    <w:i/>
                    <w:szCs w:val="24"/>
                  </w:rPr>
                </m:ctrlPr>
              </m:e>
            </m:d>
            <m:ctrlPr>
              <w:rPr>
                <w:rFonts w:ascii="Cambria Math" w:hAnsi="Cambria Math"/>
                <w:szCs w:val="24"/>
              </w:rPr>
            </m:ctrlPr>
          </m:e>
        </m:d>
      </m:oMath>
      <w:r>
        <w:rPr>
          <w:rFonts w:ascii="宋体" w:hAnsi="宋体"/>
          <w:szCs w:val="24"/>
        </w:rPr>
        <w:tab/>
      </w:r>
      <w:r>
        <w:rPr>
          <w:rFonts w:hint="eastAsia" w:ascii="宋体" w:hAnsi="宋体"/>
          <w:szCs w:val="24"/>
        </w:rPr>
        <w:t>（</w:t>
      </w:r>
      <w:r>
        <w:rPr>
          <w:rFonts w:ascii="宋体" w:hAnsi="宋体"/>
          <w:szCs w:val="24"/>
        </w:rPr>
        <w:t>9.3.</w:t>
      </w:r>
      <w:r>
        <w:rPr>
          <w:rFonts w:hint="eastAsia" w:ascii="宋体" w:hAnsi="宋体"/>
          <w:szCs w:val="24"/>
        </w:rPr>
        <w:t>4</w:t>
      </w:r>
      <w:r>
        <w:rPr>
          <w:rFonts w:ascii="宋体" w:hAnsi="宋体"/>
          <w:szCs w:val="24"/>
        </w:rPr>
        <w:t>-1</w:t>
      </w:r>
      <w:r>
        <w:rPr>
          <w:rFonts w:hint="eastAsia" w:ascii="宋体" w:hAnsi="宋体"/>
          <w:szCs w:val="24"/>
        </w:rPr>
        <w:t>）</w:t>
      </w:r>
    </w:p>
    <w:p w14:paraId="24690F6B">
      <w:pPr>
        <w:spacing w:before="156"/>
        <w:ind w:firstLine="480"/>
        <w:rPr>
          <w:rFonts w:ascii="宋体" w:hAnsi="宋体"/>
          <w:szCs w:val="24"/>
        </w:rPr>
      </w:pPr>
      <w:r>
        <w:rPr>
          <w:rFonts w:ascii="宋体" w:hAnsi="宋体"/>
          <w:szCs w:val="24"/>
        </w:rPr>
        <w:t>式中</w:t>
      </w:r>
      <w:r>
        <w:rPr>
          <w:rFonts w:hint="eastAsia" w:ascii="宋体" w:hAnsi="宋体"/>
          <w:szCs w:val="24"/>
        </w:rPr>
        <w:t xml:space="preserve"> </w:t>
      </w:r>
      <w:r>
        <w:rPr>
          <w:rFonts w:ascii="宋体" w:hAnsi="宋体"/>
          <w:szCs w:val="24"/>
        </w:rPr>
        <w:t xml:space="preserve"> A</w:t>
      </w:r>
      <w:r>
        <w:rPr>
          <w:rFonts w:ascii="宋体" w:hAnsi="宋体"/>
          <w:szCs w:val="24"/>
          <w:vertAlign w:val="subscript"/>
        </w:rPr>
        <w:t>z2</w:t>
      </w:r>
      <w:r>
        <w:rPr>
          <w:rFonts w:hint="eastAsia" w:ascii="宋体" w:hAnsi="宋体"/>
          <w:szCs w:val="24"/>
        </w:rPr>
        <w:t>— 地基的最大竖向振动位移(</w:t>
      </w:r>
      <w:r>
        <w:rPr>
          <w:rFonts w:ascii="宋体" w:hAnsi="宋体"/>
          <w:szCs w:val="24"/>
        </w:rPr>
        <w:t>m)</w:t>
      </w:r>
      <w:r>
        <w:rPr>
          <w:rFonts w:hint="eastAsia" w:ascii="宋体" w:hAnsi="宋体"/>
          <w:szCs w:val="24"/>
        </w:rPr>
        <w:t>；</w:t>
      </w:r>
    </w:p>
    <w:p w14:paraId="6D8151BD">
      <w:pPr>
        <w:spacing w:before="156"/>
        <w:ind w:left="360" w:firstLine="480"/>
        <w:rPr>
          <w:rFonts w:ascii="宋体" w:hAnsi="宋体"/>
          <w:szCs w:val="24"/>
        </w:rPr>
      </w:pPr>
      <w:r>
        <w:rPr>
          <w:rFonts w:ascii="宋体" w:hAnsi="宋体"/>
          <w:szCs w:val="24"/>
        </w:rPr>
        <w:t>K</w:t>
      </w:r>
      <w:r>
        <w:rPr>
          <w:rFonts w:ascii="宋体" w:hAnsi="宋体"/>
          <w:szCs w:val="24"/>
          <w:vertAlign w:val="subscript"/>
        </w:rPr>
        <w:t>2</w:t>
      </w:r>
      <w:r>
        <w:rPr>
          <w:rFonts w:hint="eastAsia" w:ascii="宋体" w:hAnsi="宋体"/>
          <w:szCs w:val="24"/>
        </w:rPr>
        <w:t>— 地基的折算刚度(</w:t>
      </w:r>
      <w:r>
        <w:rPr>
          <w:rFonts w:ascii="宋体" w:hAnsi="宋体"/>
          <w:szCs w:val="24"/>
        </w:rPr>
        <w:t>N/m)</w:t>
      </w:r>
      <w:r>
        <w:rPr>
          <w:rFonts w:hint="eastAsia" w:ascii="宋体" w:hAnsi="宋体"/>
          <w:szCs w:val="24"/>
        </w:rPr>
        <w:t>；</w:t>
      </w:r>
    </w:p>
    <w:p w14:paraId="15299FA5">
      <w:pPr>
        <w:spacing w:before="156"/>
        <w:ind w:left="360" w:firstLine="480"/>
        <w:rPr>
          <w:rFonts w:ascii="宋体" w:hAnsi="宋体"/>
          <w:szCs w:val="24"/>
        </w:rPr>
      </w:pPr>
      <w:r>
        <w:rPr>
          <w:rFonts w:ascii="宋体" w:hAnsi="宋体"/>
          <w:szCs w:val="24"/>
        </w:rPr>
        <w:t>K</w:t>
      </w:r>
      <w:r>
        <w:rPr>
          <w:rFonts w:hint="eastAsia" w:ascii="宋体" w:hAnsi="宋体"/>
          <w:szCs w:val="24"/>
        </w:rPr>
        <w:t>z— 地基</w:t>
      </w:r>
      <w:r>
        <w:rPr>
          <w:rFonts w:ascii="宋体" w:hAnsi="宋体"/>
          <w:szCs w:val="24"/>
        </w:rPr>
        <w:t>土</w:t>
      </w:r>
      <w:r>
        <w:rPr>
          <w:rFonts w:hint="eastAsia" w:ascii="宋体" w:hAnsi="宋体"/>
          <w:szCs w:val="24"/>
        </w:rPr>
        <w:t>的抗压刚度(</w:t>
      </w:r>
      <w:r>
        <w:rPr>
          <w:rFonts w:ascii="宋体" w:hAnsi="宋体"/>
          <w:szCs w:val="24"/>
        </w:rPr>
        <w:t>N/m)，应符合现行国家标准《动力机器基础设计</w:t>
      </w:r>
      <w:r>
        <w:rPr>
          <w:rFonts w:hint="eastAsia" w:ascii="宋体" w:hAnsi="宋体"/>
          <w:szCs w:val="24"/>
        </w:rPr>
        <w:t>标准</w:t>
      </w:r>
      <w:r>
        <w:rPr>
          <w:rFonts w:ascii="宋体" w:hAnsi="宋体"/>
          <w:szCs w:val="24"/>
        </w:rPr>
        <w:t>》</w:t>
      </w:r>
      <w:r>
        <w:rPr>
          <w:rFonts w:hint="eastAsia" w:ascii="宋体" w:hAnsi="宋体"/>
          <w:szCs w:val="24"/>
        </w:rPr>
        <w:t>G</w:t>
      </w:r>
      <w:r>
        <w:rPr>
          <w:rFonts w:ascii="宋体" w:hAnsi="宋体"/>
          <w:szCs w:val="24"/>
        </w:rPr>
        <w:t>B50040的有关规定</w:t>
      </w:r>
      <w:r>
        <w:rPr>
          <w:rFonts w:hint="eastAsia" w:ascii="宋体" w:hAnsi="宋体"/>
          <w:szCs w:val="24"/>
        </w:rPr>
        <w:t>；</w:t>
      </w:r>
    </w:p>
    <w:p w14:paraId="0247362A">
      <w:pPr>
        <w:pStyle w:val="4"/>
        <w:spacing w:before="156"/>
      </w:pPr>
      <w:r>
        <w:rPr>
          <w:rFonts w:hint="eastAsia"/>
        </w:rPr>
        <w:t>9.4</w:t>
      </w:r>
      <w:r>
        <w:t xml:space="preserve"> </w:t>
      </w:r>
      <w:r>
        <w:rPr>
          <w:rFonts w:hint="eastAsia"/>
        </w:rPr>
        <w:t xml:space="preserve">振动理论分析  </w:t>
      </w:r>
    </w:p>
    <w:p w14:paraId="6D4252EF">
      <w:pPr>
        <w:spacing w:before="156"/>
        <w:ind w:firstLine="480"/>
      </w:pPr>
      <w:r>
        <w:t>9.</w:t>
      </w:r>
      <w:r>
        <w:rPr>
          <w:rFonts w:hint="eastAsia"/>
        </w:rPr>
        <w:t>4</w:t>
      </w:r>
      <w:r>
        <w:t xml:space="preserve">.1 </w:t>
      </w:r>
      <w:r>
        <w:rPr>
          <w:rFonts w:hint="eastAsia"/>
        </w:rPr>
        <w:t>锻锤基础的隔振设计应符合下列规定：</w:t>
      </w:r>
    </w:p>
    <w:p w14:paraId="2474964F">
      <w:pPr>
        <w:spacing w:before="156"/>
        <w:ind w:firstLine="480"/>
      </w:pPr>
      <w:r>
        <w:rPr>
          <w:rFonts w:hint="eastAsia"/>
        </w:rPr>
        <w:t>1</w:t>
      </w:r>
      <w:r>
        <w:t xml:space="preserve"> </w:t>
      </w:r>
      <w:r>
        <w:rPr>
          <w:rFonts w:hint="eastAsia"/>
        </w:rPr>
        <w:t>基础和砧座的最大竖向振动位移不应大于容许振动值；</w:t>
      </w:r>
    </w:p>
    <w:p w14:paraId="27B7155D">
      <w:pPr>
        <w:spacing w:before="156"/>
        <w:ind w:firstLine="480"/>
      </w:pPr>
      <w:r>
        <w:rPr>
          <w:rFonts w:hint="eastAsia"/>
        </w:rPr>
        <w:t>2</w:t>
      </w:r>
      <w:r>
        <w:t xml:space="preserve"> </w:t>
      </w:r>
      <w:r>
        <w:rPr>
          <w:rFonts w:hint="eastAsia"/>
        </w:rPr>
        <w:t>锻锤在下一次打击前，砧座应停止振动；</w:t>
      </w:r>
    </w:p>
    <w:p w14:paraId="00F59C96">
      <w:pPr>
        <w:spacing w:before="156"/>
        <w:ind w:firstLine="480"/>
      </w:pPr>
      <w:r>
        <w:rPr>
          <w:rFonts w:hint="eastAsia"/>
        </w:rPr>
        <w:t>3</w:t>
      </w:r>
      <w:r>
        <w:t xml:space="preserve"> </w:t>
      </w:r>
      <w:r>
        <w:rPr>
          <w:rFonts w:hint="eastAsia"/>
        </w:rPr>
        <w:t xml:space="preserve">锻锤打击后,隔振器上部质量不应与隔振器分离。 </w:t>
      </w:r>
    </w:p>
    <w:p w14:paraId="38722F8F">
      <w:pPr>
        <w:spacing w:before="156"/>
        <w:ind w:firstLine="480"/>
      </w:pPr>
      <w:r>
        <w:t>9.</w:t>
      </w:r>
      <w:r>
        <w:rPr>
          <w:rFonts w:hint="eastAsia"/>
        </w:rPr>
        <w:t>4</w:t>
      </w:r>
      <w:r>
        <w:t xml:space="preserve">.2 </w:t>
      </w:r>
      <w:r>
        <w:rPr>
          <w:rFonts w:hint="eastAsia"/>
        </w:rPr>
        <w:t>锻锤隔振系统的动力学分析可简化为两自由度模型（见图9.4</w:t>
      </w:r>
      <w:r>
        <w:t>.2</w:t>
      </w:r>
      <w:r>
        <w:rPr>
          <w:rFonts w:hint="eastAsia"/>
        </w:rPr>
        <w:t>）:</w:t>
      </w:r>
    </w:p>
    <w:p w14:paraId="0F9742E4">
      <w:pPr>
        <w:pStyle w:val="39"/>
      </w:pPr>
      <w:r>
        <w:drawing>
          <wp:inline distT="0" distB="0" distL="0" distR="0">
            <wp:extent cx="4385310" cy="2499360"/>
            <wp:effectExtent l="0" t="0" r="152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395781" cy="2505595"/>
                    </a:xfrm>
                    <a:prstGeom prst="rect">
                      <a:avLst/>
                    </a:prstGeom>
                    <a:noFill/>
                  </pic:spPr>
                </pic:pic>
              </a:graphicData>
            </a:graphic>
          </wp:inline>
        </w:drawing>
      </w:r>
    </w:p>
    <w:p w14:paraId="38EDD24F">
      <w:pPr>
        <w:pStyle w:val="39"/>
      </w:pPr>
      <w:r>
        <w:rPr>
          <w:rFonts w:hint="eastAsia"/>
        </w:rPr>
        <w:t>图9</w:t>
      </w:r>
      <w:r>
        <w:t>.</w:t>
      </w:r>
      <w:r>
        <w:rPr>
          <w:rFonts w:hint="eastAsia"/>
        </w:rPr>
        <w:t>4</w:t>
      </w:r>
      <w:r>
        <w:t>.</w:t>
      </w:r>
      <w:r>
        <w:rPr>
          <w:rFonts w:hint="eastAsia"/>
        </w:rPr>
        <w:t>2</w:t>
      </w:r>
      <w:r>
        <w:t xml:space="preserve"> </w:t>
      </w:r>
      <w:r>
        <w:rPr>
          <w:rFonts w:hint="eastAsia"/>
        </w:rPr>
        <w:t>锻锤隔振基础模型</w:t>
      </w:r>
    </w:p>
    <w:p w14:paraId="4C6F3EC2">
      <w:pPr>
        <w:spacing w:before="156"/>
        <w:ind w:firstLine="480"/>
      </w:pPr>
      <w:r>
        <w:rPr>
          <w:rFonts w:hint="eastAsia"/>
        </w:rPr>
        <w:t>模型参数定义如下：</w:t>
      </w:r>
    </w:p>
    <w:p w14:paraId="16AA045B">
      <w:pPr>
        <w:spacing w:before="156"/>
        <w:ind w:firstLine="480"/>
      </w:pPr>
      <w:r>
        <w:rPr>
          <w:rFonts w:hint="eastAsia"/>
        </w:rPr>
        <w:t>图中，</w:t>
      </w:r>
      <m:oMath>
        <m:sSub>
          <m:sSubPr>
            <m:ctrlPr>
              <w:rPr>
                <w:rFonts w:ascii="Cambria Math" w:hAnsi="Cambria Math"/>
              </w:rPr>
            </m:ctrlPr>
          </m:sSubPr>
          <m:e>
            <m:r>
              <m:rPr/>
              <w:rPr>
                <w:rFonts w:ascii="Cambria Math" w:hAnsi="Cambria Math"/>
              </w:rPr>
              <m:t>F</m:t>
            </m:r>
            <m:ctrlPr>
              <w:rPr>
                <w:rFonts w:ascii="Cambria Math" w:hAnsi="Cambria Math"/>
              </w:rPr>
            </m:ctrlPr>
          </m:e>
          <m:sub>
            <m:r>
              <m:rPr/>
              <w:rPr>
                <w:rFonts w:hint="eastAsia" w:ascii="Cambria Math" w:hAnsi="Cambria Math"/>
              </w:rPr>
              <m:t>z</m:t>
            </m:r>
            <m:ctrlPr>
              <w:rPr>
                <w:rFonts w:ascii="Cambria Math" w:hAnsi="Cambria Math"/>
              </w:rPr>
            </m:ctrlPr>
          </m:sub>
        </m:sSub>
        <m:d>
          <m:dPr>
            <m:ctrlPr>
              <w:rPr>
                <w:rFonts w:ascii="Cambria Math" w:hAnsi="Cambria Math"/>
                <w:i/>
              </w:rPr>
            </m:ctrlPr>
          </m:dPr>
          <m:e>
            <m:r>
              <m:rPr/>
              <w:rPr>
                <w:rFonts w:ascii="Cambria Math" w:hAnsi="Cambria Math"/>
              </w:rPr>
              <m:t>t</m:t>
            </m:r>
            <m:ctrlPr>
              <w:rPr>
                <w:rFonts w:ascii="Cambria Math" w:hAnsi="Cambria Math"/>
                <w:i/>
              </w:rPr>
            </m:ctrlPr>
          </m:e>
        </m:d>
      </m:oMath>
      <w:r>
        <w:rPr>
          <w:rFonts w:hint="eastAsia"/>
        </w:rPr>
        <w:t>——锻锤打击力，按瞬时冲击荷载考虑（kN）；</w:t>
      </w:r>
    </w:p>
    <w:p w14:paraId="1375E0DE">
      <w:pPr>
        <w:spacing w:before="156"/>
        <w:ind w:firstLine="1200" w:firstLineChars="500"/>
      </w:pPr>
      <m:oMath>
        <m:sSub>
          <m:sSubPr>
            <m:ctrlPr>
              <w:rPr>
                <w:rFonts w:ascii="Cambria Math" w:hAnsi="Cambria Math" w:cs="MS Gothic" w:eastAsiaTheme="minorEastAsia"/>
              </w:rPr>
            </m:ctrlPr>
          </m:sSubPr>
          <m:e>
            <m:r>
              <m:rPr/>
              <w:rPr>
                <w:rFonts w:ascii="Cambria Math" w:hAnsi="Cambria Math" w:cs="MS Gothic" w:eastAsiaTheme="minorEastAsia"/>
              </w:rPr>
              <m:t>m</m:t>
            </m:r>
            <m:ctrlPr>
              <w:rPr>
                <w:rFonts w:ascii="Cambria Math" w:hAnsi="Cambria Math" w:cs="MS Gothic" w:eastAsiaTheme="minorEastAsia"/>
              </w:rPr>
            </m:ctrlPr>
          </m:e>
          <m:sub>
            <m:r>
              <m:rPr/>
              <w:rPr>
                <w:rFonts w:ascii="Cambria Math" w:hAnsi="Cambria Math" w:cs="MS Gothic" w:eastAsiaTheme="minorEastAsia"/>
              </w:rPr>
              <m:t>1</m:t>
            </m:r>
            <m:ctrlPr>
              <w:rPr>
                <w:rFonts w:ascii="Cambria Math" w:hAnsi="Cambria Math" w:cs="MS Gothic" w:eastAsiaTheme="minorEastAsia"/>
              </w:rPr>
            </m:ctrlPr>
          </m:sub>
        </m:sSub>
      </m:oMath>
      <w:r>
        <w:rPr>
          <w:rStyle w:val="57"/>
          <w:rFonts w:hint="eastAsia"/>
          <w:bCs/>
          <w:iCs/>
          <w:color w:val="404040"/>
          <w:sz w:val="29"/>
          <w:szCs w:val="29"/>
        </w:rPr>
        <w:t>——</w:t>
      </w:r>
      <w:r>
        <w:rPr>
          <w:rFonts w:hint="eastAsia"/>
        </w:rPr>
        <w:t>基组质量（t），包括锻锤底座、砧座及配重块；若采用直接隔振，则为设备重量；</w:t>
      </w:r>
    </w:p>
    <w:p w14:paraId="2C4054E7">
      <w:pPr>
        <w:spacing w:before="156"/>
        <w:ind w:firstLine="1160" w:firstLineChars="400"/>
      </w:pPr>
      <m:oMath>
        <m:sSub>
          <m:sSubPr>
            <m:ctrlPr>
              <w:rPr>
                <w:rStyle w:val="57"/>
                <w:rFonts w:ascii="Cambria Math" w:hAnsi="Cambria Math" w:cs="Times New Roman"/>
                <w:bCs/>
                <w:iCs/>
                <w:color w:val="404040"/>
                <w:sz w:val="29"/>
                <w:szCs w:val="29"/>
              </w:rPr>
            </m:ctrlPr>
          </m:sSubPr>
          <m:e>
            <m:r>
              <m:rPr/>
              <w:rPr>
                <w:rStyle w:val="57"/>
                <w:rFonts w:ascii="Cambria Math" w:hAnsi="Cambria Math" w:cs="Times New Roman"/>
                <w:color w:val="404040"/>
                <w:sz w:val="29"/>
                <w:szCs w:val="29"/>
              </w:rPr>
              <m:t>k</m:t>
            </m:r>
            <m:ctrlPr>
              <w:rPr>
                <w:rStyle w:val="57"/>
                <w:rFonts w:ascii="Cambria Math" w:hAnsi="Cambria Math" w:cs="Times New Roman"/>
                <w:bCs/>
                <w:iCs/>
                <w:color w:val="404040"/>
                <w:sz w:val="29"/>
                <w:szCs w:val="29"/>
              </w:rPr>
            </m:ctrlPr>
          </m:e>
          <m:sub>
            <m:r>
              <m:rPr/>
              <w:rPr>
                <w:rStyle w:val="57"/>
                <w:rFonts w:hint="eastAsia" w:ascii="Cambria Math" w:hAnsi="Cambria Math" w:cs="Times New Roman"/>
                <w:color w:val="404040"/>
                <w:sz w:val="29"/>
                <w:szCs w:val="29"/>
              </w:rPr>
              <m:t>1</m:t>
            </m:r>
            <m:ctrlPr>
              <w:rPr>
                <w:rStyle w:val="57"/>
                <w:rFonts w:ascii="Cambria Math" w:hAnsi="Cambria Math" w:cs="Times New Roman"/>
                <w:bCs/>
                <w:iCs/>
                <w:color w:val="404040"/>
                <w:sz w:val="29"/>
                <w:szCs w:val="29"/>
              </w:rPr>
            </m:ctrlPr>
          </m:sub>
        </m:sSub>
        <m:r>
          <m:rPr>
            <m:sty m:val="p"/>
          </m:rPr>
          <w:rPr>
            <w:rStyle w:val="58"/>
            <w:rFonts w:ascii="Cambria Math" w:hAnsi="Cambria Math" w:cs="Times New Roman"/>
            <w:color w:val="404040"/>
            <w:sz w:val="2"/>
            <w:szCs w:val="2"/>
          </w:rPr>
          <m:t>​</m:t>
        </m:r>
        <m:r>
          <m:rPr>
            <m:sty m:val="p"/>
          </m:rPr>
          <w:rPr>
            <w:rStyle w:val="34"/>
            <w:rFonts w:ascii="Cambria Math" w:hAnsi="Cambria Math" w:cs="Times New Roman"/>
            <w:color w:val="404040"/>
          </w:rPr>
          <m:t>、</m:t>
        </m:r>
        <m:sSub>
          <m:sSubPr>
            <m:ctrlPr>
              <w:rPr>
                <w:rStyle w:val="57"/>
                <w:rFonts w:ascii="Cambria Math" w:hAnsi="Cambria Math" w:cs="Times New Roman"/>
                <w:bCs/>
                <w:iCs/>
                <w:color w:val="404040"/>
                <w:sz w:val="29"/>
                <w:szCs w:val="29"/>
              </w:rPr>
            </m:ctrlPr>
          </m:sSubPr>
          <m:e>
            <m:r>
              <m:rPr>
                <m:sty m:val="p"/>
              </m:rPr>
              <w:rPr>
                <w:rStyle w:val="57"/>
                <w:rFonts w:ascii="Cambria Math" w:hAnsi="Cambria Math" w:cs="Times New Roman"/>
                <w:color w:val="404040"/>
                <w:sz w:val="29"/>
                <w:szCs w:val="29"/>
              </w:rPr>
              <m:t>c</m:t>
            </m:r>
            <m:r>
              <m:rPr>
                <m:sty m:val="p"/>
              </m:rPr>
              <w:rPr>
                <w:rStyle w:val="58"/>
                <w:rFonts w:ascii="Cambria Math" w:hAnsi="Cambria Math" w:cs="Times New Roman"/>
                <w:color w:val="404040"/>
                <w:sz w:val="2"/>
                <w:szCs w:val="2"/>
              </w:rPr>
              <m:t>​</m:t>
            </m:r>
            <m:r>
              <m:rPr>
                <m:sty m:val="p"/>
              </m:rPr>
              <w:rPr>
                <w:rStyle w:val="58"/>
                <w:rFonts w:hint="eastAsia" w:ascii="Cambria Math" w:hAnsi="Cambria Math" w:cs="Times New Roman"/>
                <w:color w:val="404040"/>
                <w:sz w:val="2"/>
                <w:szCs w:val="2"/>
              </w:rPr>
              <m:t>11</m:t>
            </m:r>
            <m:ctrlPr>
              <w:rPr>
                <w:rStyle w:val="57"/>
                <w:rFonts w:ascii="Cambria Math" w:hAnsi="Cambria Math" w:cs="Times New Roman"/>
                <w:bCs/>
                <w:iCs/>
                <w:color w:val="404040"/>
                <w:sz w:val="29"/>
                <w:szCs w:val="29"/>
              </w:rPr>
            </m:ctrlPr>
          </m:e>
          <m:sub>
            <m:r>
              <m:rPr/>
              <w:rPr>
                <w:rStyle w:val="57"/>
                <w:rFonts w:hint="eastAsia" w:ascii="Cambria Math" w:hAnsi="Cambria Math" w:cs="Times New Roman"/>
                <w:color w:val="404040"/>
                <w:sz w:val="29"/>
                <w:szCs w:val="29"/>
              </w:rPr>
              <m:t>1</m:t>
            </m:r>
            <m:ctrlPr>
              <w:rPr>
                <w:rStyle w:val="57"/>
                <w:rFonts w:ascii="Cambria Math" w:hAnsi="Cambria Math" w:cs="Times New Roman"/>
                <w:bCs/>
                <w:iCs/>
                <w:color w:val="404040"/>
                <w:sz w:val="29"/>
                <w:szCs w:val="29"/>
              </w:rPr>
            </m:ctrlPr>
          </m:sub>
        </m:sSub>
      </m:oMath>
      <w:r>
        <w:rPr>
          <w:rStyle w:val="57"/>
          <w:rFonts w:hint="eastAsia"/>
          <w:bCs/>
          <w:iCs/>
          <w:color w:val="404040"/>
          <w:sz w:val="29"/>
          <w:szCs w:val="29"/>
        </w:rPr>
        <w:t>——</w:t>
      </w:r>
      <w:r>
        <w:t>隔振器的总刚度（kN/m）和阻尼系数（kN·s/m）；</w:t>
      </w:r>
    </w:p>
    <w:p w14:paraId="3B05FADC">
      <w:pPr>
        <w:spacing w:before="156"/>
        <w:ind w:left="100" w:firstLine="960" w:firstLineChars="400"/>
      </w:pPr>
      <m:oMath>
        <m:sSub>
          <m:sSubPr>
            <m:ctrlPr>
              <w:rPr>
                <w:rFonts w:ascii="Cambria Math" w:hAnsi="Cambria Math" w:cs="MS Gothic" w:eastAsiaTheme="minorEastAsia"/>
              </w:rPr>
            </m:ctrlPr>
          </m:sSubPr>
          <m:e>
            <m:r>
              <m:rPr/>
              <w:rPr>
                <w:rFonts w:ascii="Cambria Math" w:hAnsi="Cambria Math" w:cs="MS Gothic" w:eastAsiaTheme="minorEastAsia"/>
              </w:rPr>
              <m:t>m</m:t>
            </m:r>
            <m:ctrlPr>
              <w:rPr>
                <w:rFonts w:ascii="Cambria Math" w:hAnsi="Cambria Math" w:cs="MS Gothic" w:eastAsiaTheme="minorEastAsia"/>
              </w:rPr>
            </m:ctrlPr>
          </m:e>
          <m:sub>
            <m:r>
              <m:rPr/>
              <w:rPr>
                <w:rFonts w:hint="eastAsia" w:ascii="Cambria Math" w:hAnsi="Cambria Math" w:cs="MS Gothic" w:eastAsiaTheme="minorEastAsia"/>
              </w:rPr>
              <m:t>2</m:t>
            </m:r>
            <m:ctrlPr>
              <w:rPr>
                <w:rFonts w:ascii="Cambria Math" w:hAnsi="Cambria Math" w:cs="MS Gothic" w:eastAsiaTheme="minorEastAsia"/>
              </w:rPr>
            </m:ctrlPr>
          </m:sub>
        </m:sSub>
      </m:oMath>
      <w:r>
        <w:rPr>
          <w:rStyle w:val="57"/>
          <w:rFonts w:hint="eastAsia"/>
          <w:bCs/>
          <w:iCs/>
          <w:color w:val="404040"/>
          <w:sz w:val="29"/>
          <w:szCs w:val="29"/>
        </w:rPr>
        <w:t>——</w:t>
      </w:r>
      <w:r>
        <w:t>基坑质量（t），含基础底板</w:t>
      </w:r>
      <w:r>
        <w:rPr>
          <w:rFonts w:hint="eastAsia"/>
        </w:rPr>
        <w:t>、侧壁</w:t>
      </w:r>
      <w:r>
        <w:t>及土参</w:t>
      </w:r>
      <w:r>
        <w:rPr>
          <w:rFonts w:hint="eastAsia"/>
        </w:rPr>
        <w:t>振</w:t>
      </w:r>
      <w:r>
        <w:t>质量；</w:t>
      </w:r>
    </w:p>
    <w:p w14:paraId="6F7594B3">
      <w:pPr>
        <w:spacing w:before="156"/>
        <w:ind w:firstLine="1160" w:firstLineChars="400"/>
      </w:pPr>
      <m:oMath>
        <m:sSub>
          <m:sSubPr>
            <m:ctrlPr>
              <w:rPr>
                <w:rStyle w:val="57"/>
                <w:rFonts w:ascii="Cambria Math" w:hAnsi="Cambria Math" w:cs="Times New Roman"/>
                <w:bCs/>
                <w:iCs/>
                <w:color w:val="404040"/>
                <w:sz w:val="29"/>
                <w:szCs w:val="29"/>
              </w:rPr>
            </m:ctrlPr>
          </m:sSubPr>
          <m:e>
            <m:r>
              <m:rPr/>
              <w:rPr>
                <w:rStyle w:val="57"/>
                <w:rFonts w:ascii="Cambria Math" w:hAnsi="Cambria Math" w:cs="Times New Roman"/>
                <w:color w:val="404040"/>
                <w:sz w:val="29"/>
                <w:szCs w:val="29"/>
              </w:rPr>
              <m:t>k</m:t>
            </m:r>
            <m:ctrlPr>
              <w:rPr>
                <w:rStyle w:val="57"/>
                <w:rFonts w:ascii="Cambria Math" w:hAnsi="Cambria Math" w:cs="Times New Roman"/>
                <w:bCs/>
                <w:iCs/>
                <w:color w:val="404040"/>
                <w:sz w:val="29"/>
                <w:szCs w:val="29"/>
              </w:rPr>
            </m:ctrlPr>
          </m:e>
          <m:sub>
            <m:r>
              <m:rPr/>
              <w:rPr>
                <w:rStyle w:val="57"/>
                <w:rFonts w:hint="eastAsia" w:ascii="Cambria Math" w:hAnsi="Cambria Math" w:cs="Times New Roman"/>
                <w:color w:val="404040"/>
                <w:sz w:val="29"/>
                <w:szCs w:val="29"/>
              </w:rPr>
              <m:t>2</m:t>
            </m:r>
            <m:ctrlPr>
              <w:rPr>
                <w:rStyle w:val="57"/>
                <w:rFonts w:ascii="Cambria Math" w:hAnsi="Cambria Math" w:cs="Times New Roman"/>
                <w:bCs/>
                <w:iCs/>
                <w:color w:val="404040"/>
                <w:sz w:val="29"/>
                <w:szCs w:val="29"/>
              </w:rPr>
            </m:ctrlPr>
          </m:sub>
        </m:sSub>
        <m:r>
          <m:rPr>
            <m:sty m:val="p"/>
          </m:rPr>
          <w:rPr>
            <w:rStyle w:val="58"/>
            <w:rFonts w:ascii="Cambria Math" w:hAnsi="Cambria Math" w:cs="Times New Roman"/>
            <w:color w:val="404040"/>
            <w:sz w:val="2"/>
            <w:szCs w:val="2"/>
          </w:rPr>
          <m:t>​</m:t>
        </m:r>
        <m:r>
          <m:rPr>
            <m:sty m:val="p"/>
          </m:rPr>
          <w:rPr>
            <w:rStyle w:val="34"/>
            <w:rFonts w:ascii="Cambria Math" w:hAnsi="Cambria Math" w:cs="Times New Roman"/>
            <w:color w:val="404040"/>
          </w:rPr>
          <m:t>、</m:t>
        </m:r>
        <m:sSub>
          <m:sSubPr>
            <m:ctrlPr>
              <w:rPr>
                <w:rStyle w:val="57"/>
                <w:rFonts w:ascii="Cambria Math" w:hAnsi="Cambria Math" w:cs="Times New Roman"/>
                <w:bCs/>
                <w:iCs/>
                <w:color w:val="404040"/>
                <w:sz w:val="29"/>
                <w:szCs w:val="29"/>
              </w:rPr>
            </m:ctrlPr>
          </m:sSubPr>
          <m:e>
            <m:r>
              <m:rPr>
                <m:sty m:val="p"/>
              </m:rPr>
              <w:rPr>
                <w:rStyle w:val="57"/>
                <w:rFonts w:ascii="Cambria Math" w:hAnsi="Cambria Math" w:cs="Times New Roman"/>
                <w:color w:val="404040"/>
                <w:sz w:val="29"/>
                <w:szCs w:val="29"/>
              </w:rPr>
              <m:t>c</m:t>
            </m:r>
            <m:r>
              <m:rPr>
                <m:sty m:val="p"/>
              </m:rPr>
              <w:rPr>
                <w:rStyle w:val="58"/>
                <w:rFonts w:ascii="Cambria Math" w:hAnsi="Cambria Math" w:cs="Times New Roman"/>
                <w:color w:val="404040"/>
                <w:sz w:val="2"/>
                <w:szCs w:val="2"/>
              </w:rPr>
              <m:t>​</m:t>
            </m:r>
            <m:r>
              <m:rPr>
                <m:sty m:val="p"/>
              </m:rPr>
              <w:rPr>
                <w:rStyle w:val="58"/>
                <w:rFonts w:hint="eastAsia" w:ascii="Cambria Math" w:hAnsi="Cambria Math" w:cs="Times New Roman"/>
                <w:color w:val="404040"/>
                <w:sz w:val="2"/>
                <w:szCs w:val="2"/>
              </w:rPr>
              <m:t>11</m:t>
            </m:r>
            <m:ctrlPr>
              <w:rPr>
                <w:rStyle w:val="57"/>
                <w:rFonts w:ascii="Cambria Math" w:hAnsi="Cambria Math" w:cs="Times New Roman"/>
                <w:bCs/>
                <w:iCs/>
                <w:color w:val="404040"/>
                <w:sz w:val="29"/>
                <w:szCs w:val="29"/>
              </w:rPr>
            </m:ctrlPr>
          </m:e>
          <m:sub>
            <m:r>
              <m:rPr/>
              <w:rPr>
                <w:rStyle w:val="57"/>
                <w:rFonts w:hint="eastAsia" w:ascii="Cambria Math" w:hAnsi="Cambria Math" w:cs="Times New Roman"/>
                <w:color w:val="404040"/>
                <w:sz w:val="29"/>
                <w:szCs w:val="29"/>
              </w:rPr>
              <m:t>2</m:t>
            </m:r>
            <m:ctrlPr>
              <w:rPr>
                <w:rStyle w:val="57"/>
                <w:rFonts w:ascii="Cambria Math" w:hAnsi="Cambria Math" w:cs="Times New Roman"/>
                <w:bCs/>
                <w:iCs/>
                <w:color w:val="404040"/>
                <w:sz w:val="29"/>
                <w:szCs w:val="29"/>
              </w:rPr>
            </m:ctrlPr>
          </m:sub>
        </m:sSub>
      </m:oMath>
      <w:r>
        <w:rPr>
          <w:rFonts w:hint="eastAsia"/>
        </w:rPr>
        <w:t>——</w:t>
      </w:r>
      <w:r>
        <w:t>基坑下土层的等效刚度（kN/m）和等效阻尼系数（kN·s/m）。</w:t>
      </w:r>
    </w:p>
    <w:p w14:paraId="087B26A5">
      <w:pPr>
        <w:spacing w:before="156"/>
        <w:ind w:firstLine="480"/>
      </w:pPr>
      <w:r>
        <w:rPr>
          <w:rFonts w:hint="eastAsia"/>
        </w:rPr>
        <w:t>9</w:t>
      </w:r>
      <w:r>
        <w:t>.</w:t>
      </w:r>
      <w:r>
        <w:rPr>
          <w:rFonts w:hint="eastAsia"/>
        </w:rPr>
        <w:t>4</w:t>
      </w:r>
      <w:r>
        <w:t xml:space="preserve">.3 </w:t>
      </w:r>
      <w:r>
        <w:rPr>
          <w:rFonts w:hint="eastAsia"/>
        </w:rPr>
        <w:t>锻锤隔振基础运动微分方程为：</w:t>
      </w:r>
    </w:p>
    <w:p w14:paraId="7CB5FE35">
      <w:pPr>
        <w:spacing w:before="0" w:beforeLines="0" w:line="360" w:lineRule="auto"/>
        <w:ind w:firstLine="480"/>
        <w:jc w:val="right"/>
        <w:rPr>
          <w:rFonts w:ascii="宋体" w:hAnsi="宋体"/>
        </w:rPr>
      </w:pPr>
      <m:oMath>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i/>
                      </w:rPr>
                    </m:ctrlPr>
                  </m:sSubPr>
                  <m:e>
                    <m:r>
                      <m:rPr/>
                      <w:rPr>
                        <w:rFonts w:hint="eastAsia" w:ascii="Cambria Math" w:hAnsi="Cambria Math"/>
                      </w:rPr>
                      <m:t>m</m:t>
                    </m:r>
                    <m:ctrlPr>
                      <w:rPr>
                        <w:rFonts w:ascii="Cambria Math" w:hAnsi="Cambria Math"/>
                        <w:i/>
                      </w:rPr>
                    </m:ctrlPr>
                  </m:e>
                  <m:sub>
                    <m:r>
                      <m:rPr/>
                      <w:rPr>
                        <w:rFonts w:ascii="Cambria Math" w:hAnsi="Cambria Math"/>
                      </w:rPr>
                      <m:t>1</m:t>
                    </m:r>
                    <m:ctrlPr>
                      <w:rPr>
                        <w:rFonts w:ascii="Cambria Math" w:hAnsi="Cambria Math"/>
                        <w:i/>
                      </w:rPr>
                    </m:ctrlPr>
                  </m:sub>
                </m:sSub>
                <m:acc>
                  <m:accPr>
                    <m:chr m:val="̈"/>
                    <m:ctrlPr>
                      <w:rPr>
                        <w:rFonts w:ascii="Cambria Math" w:hAnsi="Cambria Math"/>
                        <w:i/>
                      </w:rPr>
                    </m:ctrlPr>
                  </m:accPr>
                  <m:e>
                    <m:sSub>
                      <m:sSubPr>
                        <m:ctrlPr>
                          <w:rPr>
                            <w:rFonts w:ascii="Cambria Math" w:hAnsi="Cambria Math"/>
                            <w:i/>
                          </w:rPr>
                        </m:ctrlPr>
                      </m:sSubPr>
                      <m:e>
                        <m:r>
                          <m:rPr/>
                          <w:rPr>
                            <w:rFonts w:ascii="Cambria Math" w:hAnsi="Cambria Math"/>
                          </w:rPr>
                          <m:t>z</m:t>
                        </m:r>
                        <m:ctrlPr>
                          <w:rPr>
                            <w:rFonts w:ascii="Cambria Math" w:hAnsi="Cambria Math"/>
                            <w:i/>
                          </w:rPr>
                        </m:ctrlPr>
                      </m:e>
                      <m:sub>
                        <m:r>
                          <m:rPr/>
                          <w:rPr>
                            <w:rFonts w:ascii="Cambria Math" w:hAnsi="Cambria Math"/>
                          </w:rPr>
                          <m:t>1</m:t>
                        </m:r>
                        <m:ctrlPr>
                          <w:rPr>
                            <w:rFonts w:ascii="Cambria Math" w:hAnsi="Cambria Math"/>
                            <w:i/>
                          </w:rPr>
                        </m:ctrlPr>
                      </m:sub>
                    </m:sSub>
                    <m:ctrlPr>
                      <w:rPr>
                        <w:rFonts w:ascii="Cambria Math" w:hAnsi="Cambria Math"/>
                        <w:i/>
                      </w:rPr>
                    </m:ctrlPr>
                  </m:e>
                </m:acc>
                <m:r>
                  <m:rPr/>
                  <w:rPr>
                    <w:rFonts w:ascii="Cambria Math" w:hAnsi="Cambria Math"/>
                  </w:rPr>
                  <m:t>+</m:t>
                </m:r>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1</m:t>
                    </m:r>
                    <m:ctrlPr>
                      <w:rPr>
                        <w:rFonts w:ascii="Cambria Math" w:hAnsi="Cambria Math"/>
                        <w:i/>
                      </w:rPr>
                    </m:ctrlPr>
                  </m:sub>
                </m:sSub>
                <m:acc>
                  <m:accPr>
                    <m:chr m:val="̇"/>
                    <m:ctrlPr>
                      <w:rPr>
                        <w:rFonts w:ascii="Cambria Math" w:hAnsi="Cambria Math"/>
                        <w:i/>
                      </w:rPr>
                    </m:ctrlPr>
                  </m:accPr>
                  <m:e>
                    <m:sSub>
                      <m:sSubPr>
                        <m:ctrlPr>
                          <w:rPr>
                            <w:rFonts w:ascii="Cambria Math" w:hAnsi="Cambria Math"/>
                            <w:i/>
                          </w:rPr>
                        </m:ctrlPr>
                      </m:sSubPr>
                      <m:e>
                        <m:r>
                          <m:rPr/>
                          <w:rPr>
                            <w:rFonts w:ascii="Cambria Math" w:hAnsi="Cambria Math"/>
                          </w:rPr>
                          <m:t>z</m:t>
                        </m:r>
                        <m:ctrlPr>
                          <w:rPr>
                            <w:rFonts w:ascii="Cambria Math" w:hAnsi="Cambria Math"/>
                            <w:i/>
                          </w:rPr>
                        </m:ctrlPr>
                      </m:e>
                      <m:sub>
                        <m:r>
                          <m:rPr/>
                          <w:rPr>
                            <w:rFonts w:ascii="Cambria Math" w:hAnsi="Cambria Math"/>
                          </w:rPr>
                          <m:t>1</m:t>
                        </m:r>
                        <m:ctrlPr>
                          <w:rPr>
                            <w:rFonts w:ascii="Cambria Math" w:hAnsi="Cambria Math"/>
                            <w:i/>
                          </w:rPr>
                        </m:ctrlPr>
                      </m:sub>
                    </m:sSub>
                    <m:ctrlPr>
                      <w:rPr>
                        <w:rFonts w:ascii="Cambria Math" w:hAnsi="Cambria Math"/>
                        <w:i/>
                      </w:rPr>
                    </m:ctrlPr>
                  </m:e>
                </m:acc>
                <m:r>
                  <m:rPr/>
                  <w:rPr>
                    <w:rFonts w:ascii="Cambria Math" w:hAnsi="Cambria Math"/>
                  </w:rPr>
                  <m:t>+</m:t>
                </m:r>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m:t>
                    </m:r>
                    <m:ctrlPr>
                      <w:rPr>
                        <w:rFonts w:ascii="Cambria Math" w:hAnsi="Cambria Math"/>
                        <w:i/>
                      </w:rPr>
                    </m:ctrlPr>
                  </m:sub>
                </m:sSub>
                <m:d>
                  <m:dPr>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m:rPr/>
                              <w:rPr>
                                <w:rFonts w:ascii="Cambria Math" w:hAnsi="Cambria Math"/>
                              </w:rPr>
                              <m:t>z</m:t>
                            </m:r>
                            <m:ctrlPr>
                              <w:rPr>
                                <w:rFonts w:ascii="Cambria Math" w:hAnsi="Cambria Math"/>
                                <w:i/>
                              </w:rPr>
                            </m:ctrlPr>
                          </m:e>
                          <m:sub>
                            <m:r>
                              <m:rPr/>
                              <w:rPr>
                                <w:rFonts w:ascii="Cambria Math" w:hAnsi="Cambria Math"/>
                              </w:rPr>
                              <m:t>1</m:t>
                            </m:r>
                            <m:ctrlPr>
                              <w:rPr>
                                <w:rFonts w:ascii="Cambria Math" w:hAnsi="Cambria Math"/>
                                <w:i/>
                              </w:rPr>
                            </m:ctrlPr>
                          </m:sub>
                        </m:sSub>
                        <m:ctrlPr>
                          <w:rPr>
                            <w:rFonts w:ascii="Cambria Math" w:hAnsi="Cambria Math"/>
                            <w:i/>
                          </w:rPr>
                        </m:ctrlPr>
                      </m:e>
                    </m:acc>
                    <m:r>
                      <m:rPr/>
                      <w:rPr>
                        <w:rFonts w:ascii="Cambria Math" w:hAnsi="Cambria Math"/>
                      </w:rPr>
                      <m:t>−</m:t>
                    </m:r>
                    <m:acc>
                      <m:accPr>
                        <m:chr m:val="̇"/>
                        <m:ctrlPr>
                          <w:rPr>
                            <w:rFonts w:ascii="Cambria Math" w:hAnsi="Cambria Math"/>
                            <w:i/>
                          </w:rPr>
                        </m:ctrlPr>
                      </m:accPr>
                      <m:e>
                        <m:sSub>
                          <m:sSubPr>
                            <m:ctrlPr>
                              <w:rPr>
                                <w:rFonts w:ascii="Cambria Math" w:hAnsi="Cambria Math"/>
                                <w:i/>
                              </w:rPr>
                            </m:ctrlPr>
                          </m:sSubPr>
                          <m:e>
                            <m:r>
                              <m:rPr/>
                              <w:rPr>
                                <w:rFonts w:ascii="Cambria Math" w:hAnsi="Cambria Math"/>
                              </w:rPr>
                              <m:t>z</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rPr>
                        </m:ctrlPr>
                      </m:e>
                    </m:acc>
                    <m:ctrlPr>
                      <w:rPr>
                        <w:rFonts w:ascii="Cambria Math" w:hAnsi="Cambria Math"/>
                        <w:i/>
                      </w:rPr>
                    </m:ctrlPr>
                  </m:e>
                </m:d>
                <m:r>
                  <m:rPr/>
                  <w:rPr>
                    <w:rFonts w:ascii="Cambria Math" w:hAnsi="Cambria Math"/>
                  </w:rPr>
                  <m:t>+</m:t>
                </m:r>
                <m:sSub>
                  <m:sSubPr>
                    <m:ctrlPr>
                      <w:rPr>
                        <w:rFonts w:ascii="Cambria Math" w:hAnsi="Cambria Math"/>
                        <w:i/>
                      </w:rPr>
                    </m:ctrlPr>
                  </m:sSubPr>
                  <m:e>
                    <m:r>
                      <m:rPr/>
                      <w:rPr>
                        <w:rFonts w:ascii="Cambria Math" w:hAnsi="Cambria Math"/>
                      </w:rPr>
                      <m:t>k</m:t>
                    </m:r>
                    <m:ctrlPr>
                      <w:rPr>
                        <w:rFonts w:ascii="Cambria Math" w:hAnsi="Cambria Math"/>
                        <w:i/>
                      </w:rPr>
                    </m:ctrlPr>
                  </m:e>
                  <m:sub>
                    <m:r>
                      <m:rPr/>
                      <w:rPr>
                        <w:rFonts w:ascii="Cambria Math" w:hAnsi="Cambria Math"/>
                      </w:rPr>
                      <m:t>1</m:t>
                    </m:r>
                    <m:ctrlPr>
                      <w:rPr>
                        <w:rFonts w:ascii="Cambria Math" w:hAnsi="Cambria Math"/>
                        <w:i/>
                      </w:rPr>
                    </m:ctrlPr>
                  </m:sub>
                </m:sSub>
                <m:sSub>
                  <m:sSubPr>
                    <m:ctrlPr>
                      <w:rPr>
                        <w:rFonts w:ascii="Cambria Math" w:hAnsi="Cambria Math"/>
                        <w:i/>
                      </w:rPr>
                    </m:ctrlPr>
                  </m:sSubPr>
                  <m:e>
                    <m:r>
                      <m:rPr/>
                      <w:rPr>
                        <w:rFonts w:ascii="Cambria Math" w:hAnsi="Cambria Math"/>
                      </w:rPr>
                      <m:t>z</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k</m:t>
                    </m:r>
                    <m:ctrlPr>
                      <w:rPr>
                        <w:rFonts w:ascii="Cambria Math" w:hAnsi="Cambria Math"/>
                        <w:i/>
                      </w:rPr>
                    </m:ctrlPr>
                  </m:e>
                  <m:sub>
                    <m:r>
                      <m:rPr/>
                      <w:rPr>
                        <w:rFonts w:ascii="Cambria Math" w:hAnsi="Cambria Math"/>
                      </w:rPr>
                      <m:t>2</m:t>
                    </m:r>
                    <m:ctrlPr>
                      <w:rPr>
                        <w:rFonts w:ascii="Cambria Math" w:hAnsi="Cambria Math"/>
                        <w:i/>
                      </w:rPr>
                    </m:ctrlPr>
                  </m:sub>
                </m:sSub>
                <m:d>
                  <m:dPr>
                    <m:ctrlPr>
                      <w:rPr>
                        <w:rFonts w:ascii="Cambria Math" w:hAnsi="Cambria Math"/>
                        <w:i/>
                      </w:rPr>
                    </m:ctrlPr>
                  </m:dPr>
                  <m:e>
                    <m:sSub>
                      <m:sSubPr>
                        <m:ctrlPr>
                          <w:rPr>
                            <w:rFonts w:ascii="Cambria Math" w:hAnsi="Cambria Math"/>
                            <w:i/>
                          </w:rPr>
                        </m:ctrlPr>
                      </m:sSubPr>
                      <m:e>
                        <m:r>
                          <m:rPr/>
                          <w:rPr>
                            <w:rFonts w:ascii="Cambria Math" w:hAnsi="Cambria Math"/>
                          </w:rPr>
                          <m:t>z</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z</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rPr>
                    </m:ctrlPr>
                  </m:e>
                </m:d>
                <m:r>
                  <m:rPr/>
                  <w:rPr>
                    <w:rFonts w:ascii="Cambria Math" w:hAnsi="Cambria Math"/>
                  </w:rPr>
                  <m:t>=</m:t>
                </m:r>
                <m:sSub>
                  <m:sSubPr>
                    <m:ctrlPr>
                      <w:rPr>
                        <w:rFonts w:ascii="Cambria Math" w:hAnsi="Cambria Math"/>
                        <w:i/>
                      </w:rPr>
                    </m:ctrlPr>
                  </m:sSubPr>
                  <m:e>
                    <m:r>
                      <m:rPr/>
                      <w:rPr>
                        <w:rFonts w:ascii="Cambria Math" w:hAnsi="Cambria Math"/>
                      </w:rPr>
                      <m:t>F</m:t>
                    </m:r>
                    <m:ctrlPr>
                      <w:rPr>
                        <w:rFonts w:ascii="Cambria Math" w:hAnsi="Cambria Math"/>
                        <w:i/>
                      </w:rPr>
                    </m:ctrlPr>
                  </m:e>
                  <m:sub>
                    <m:r>
                      <m:rPr/>
                      <w:rPr>
                        <w:rFonts w:hint="eastAsia" w:ascii="Cambria Math" w:hAnsi="Cambria Math"/>
                      </w:rPr>
                      <m:t>z</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ctrlPr>
                  <w:rPr>
                    <w:rFonts w:ascii="Cambria Math" w:hAnsi="Cambria Math"/>
                  </w:rPr>
                </m:ctrlPr>
              </m:e>
              <m:e>
                <m:sSub>
                  <m:sSubPr>
                    <m:ctrlPr>
                      <w:rPr>
                        <w:rFonts w:ascii="Cambria Math" w:hAnsi="Cambria Math"/>
                        <w:i/>
                      </w:rPr>
                    </m:ctrlPr>
                  </m:sSubPr>
                  <m:e>
                    <m:r>
                      <m:rPr/>
                      <w:rPr>
                        <w:rFonts w:hint="eastAsia" w:ascii="Cambria Math" w:hAnsi="Cambria Math"/>
                      </w:rPr>
                      <m:t>m</m:t>
                    </m:r>
                    <m:ctrlPr>
                      <w:rPr>
                        <w:rFonts w:ascii="Cambria Math" w:hAnsi="Cambria Math"/>
                        <w:i/>
                      </w:rPr>
                    </m:ctrlPr>
                  </m:e>
                  <m:sub>
                    <m:r>
                      <m:rPr/>
                      <w:rPr>
                        <w:rFonts w:ascii="Cambria Math" w:hAnsi="Cambria Math"/>
                      </w:rPr>
                      <m:t>2</m:t>
                    </m:r>
                    <m:ctrlPr>
                      <w:rPr>
                        <w:rFonts w:ascii="Cambria Math" w:hAnsi="Cambria Math"/>
                        <w:i/>
                      </w:rPr>
                    </m:ctrlPr>
                  </m:sub>
                </m:sSub>
                <m:acc>
                  <m:accPr>
                    <m:chr m:val="̈"/>
                    <m:ctrlPr>
                      <w:rPr>
                        <w:rFonts w:ascii="Cambria Math" w:hAnsi="Cambria Math"/>
                        <w:i/>
                      </w:rPr>
                    </m:ctrlPr>
                  </m:accPr>
                  <m:e>
                    <m:sSub>
                      <m:sSubPr>
                        <m:ctrlPr>
                          <w:rPr>
                            <w:rFonts w:ascii="Cambria Math" w:hAnsi="Cambria Math"/>
                            <w:i/>
                          </w:rPr>
                        </m:ctrlPr>
                      </m:sSubPr>
                      <m:e>
                        <m:r>
                          <m:rPr/>
                          <w:rPr>
                            <w:rFonts w:ascii="Cambria Math" w:hAnsi="Cambria Math"/>
                          </w:rPr>
                          <m:t>z</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rPr>
                    </m:ctrlPr>
                  </m:e>
                </m:acc>
                <m:r>
                  <m:rPr/>
                  <w:rPr>
                    <w:rFonts w:ascii="Cambria Math" w:hAnsi="Cambria Math"/>
                  </w:rPr>
                  <m:t>+</m:t>
                </m:r>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m:t>
                    </m:r>
                    <m:ctrlPr>
                      <w:rPr>
                        <w:rFonts w:ascii="Cambria Math" w:hAnsi="Cambria Math"/>
                        <w:i/>
                      </w:rPr>
                    </m:ctrlPr>
                  </m:sub>
                </m:sSub>
                <m:d>
                  <m:dPr>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m:rPr/>
                              <w:rPr>
                                <w:rFonts w:ascii="Cambria Math" w:hAnsi="Cambria Math"/>
                              </w:rPr>
                              <m:t>z</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rPr>
                        </m:ctrlPr>
                      </m:e>
                    </m:acc>
                    <m:r>
                      <m:rPr/>
                      <w:rPr>
                        <w:rFonts w:ascii="Cambria Math" w:hAnsi="Cambria Math"/>
                      </w:rPr>
                      <m:t>−</m:t>
                    </m:r>
                    <m:acc>
                      <m:accPr>
                        <m:chr m:val="̇"/>
                        <m:ctrlPr>
                          <w:rPr>
                            <w:rFonts w:ascii="Cambria Math" w:hAnsi="Cambria Math"/>
                            <w:i/>
                          </w:rPr>
                        </m:ctrlPr>
                      </m:accPr>
                      <m:e>
                        <m:sSub>
                          <m:sSubPr>
                            <m:ctrlPr>
                              <w:rPr>
                                <w:rFonts w:ascii="Cambria Math" w:hAnsi="Cambria Math"/>
                                <w:i/>
                              </w:rPr>
                            </m:ctrlPr>
                          </m:sSubPr>
                          <m:e>
                            <m:r>
                              <m:rPr/>
                              <w:rPr>
                                <w:rFonts w:ascii="Cambria Math" w:hAnsi="Cambria Math"/>
                              </w:rPr>
                              <m:t>z</m:t>
                            </m:r>
                            <m:ctrlPr>
                              <w:rPr>
                                <w:rFonts w:ascii="Cambria Math" w:hAnsi="Cambria Math"/>
                                <w:i/>
                              </w:rPr>
                            </m:ctrlPr>
                          </m:e>
                          <m:sub>
                            <m:r>
                              <m:rPr/>
                              <w:rPr>
                                <w:rFonts w:ascii="Cambria Math" w:hAnsi="Cambria Math"/>
                              </w:rPr>
                              <m:t>1</m:t>
                            </m:r>
                            <m:ctrlPr>
                              <w:rPr>
                                <w:rFonts w:ascii="Cambria Math" w:hAnsi="Cambria Math"/>
                                <w:i/>
                              </w:rPr>
                            </m:ctrlPr>
                          </m:sub>
                        </m:sSub>
                        <m:ctrlPr>
                          <w:rPr>
                            <w:rFonts w:ascii="Cambria Math" w:hAnsi="Cambria Math"/>
                            <w:i/>
                          </w:rPr>
                        </m:ctrlPr>
                      </m:e>
                    </m:acc>
                    <m:ctrlPr>
                      <w:rPr>
                        <w:rFonts w:ascii="Cambria Math" w:hAnsi="Cambria Math"/>
                        <w:i/>
                      </w:rPr>
                    </m:ctrlPr>
                  </m:e>
                </m:d>
                <m:r>
                  <m:rPr/>
                  <w:rPr>
                    <w:rFonts w:ascii="Cambria Math" w:hAnsi="Cambria Math"/>
                  </w:rPr>
                  <m:t>+</m:t>
                </m:r>
                <m:sSub>
                  <m:sSubPr>
                    <m:ctrlPr>
                      <w:rPr>
                        <w:rFonts w:ascii="Cambria Math" w:hAnsi="Cambria Math"/>
                        <w:i/>
                      </w:rPr>
                    </m:ctrlPr>
                  </m:sSubPr>
                  <m:e>
                    <m:r>
                      <m:rPr/>
                      <w:rPr>
                        <w:rFonts w:ascii="Cambria Math" w:hAnsi="Cambria Math"/>
                      </w:rPr>
                      <m:t>k</m:t>
                    </m:r>
                    <m:ctrlPr>
                      <w:rPr>
                        <w:rFonts w:ascii="Cambria Math" w:hAnsi="Cambria Math"/>
                        <w:i/>
                      </w:rPr>
                    </m:ctrlPr>
                  </m:e>
                  <m:sub>
                    <m:r>
                      <m:rPr/>
                      <w:rPr>
                        <w:rFonts w:ascii="Cambria Math" w:hAnsi="Cambria Math"/>
                      </w:rPr>
                      <m:t>1</m:t>
                    </m:r>
                    <m:ctrlPr>
                      <w:rPr>
                        <w:rFonts w:ascii="Cambria Math" w:hAnsi="Cambria Math"/>
                        <w:i/>
                      </w:rPr>
                    </m:ctrlPr>
                  </m:sub>
                </m:sSub>
                <m:d>
                  <m:dPr>
                    <m:ctrlPr>
                      <w:rPr>
                        <w:rFonts w:ascii="Cambria Math" w:hAnsi="Cambria Math"/>
                        <w:i/>
                      </w:rPr>
                    </m:ctrlPr>
                  </m:dPr>
                  <m:e>
                    <m:sSub>
                      <m:sSubPr>
                        <m:ctrlPr>
                          <w:rPr>
                            <w:rFonts w:ascii="Cambria Math" w:hAnsi="Cambria Math"/>
                            <w:i/>
                          </w:rPr>
                        </m:ctrlPr>
                      </m:sSubPr>
                      <m:e>
                        <m:r>
                          <m:rPr/>
                          <w:rPr>
                            <w:rFonts w:ascii="Cambria Math" w:hAnsi="Cambria Math"/>
                          </w:rPr>
                          <m:t>z</m:t>
                        </m:r>
                        <m:ctrlPr>
                          <w:rPr>
                            <w:rFonts w:ascii="Cambria Math" w:hAnsi="Cambria Math"/>
                            <w:i/>
                          </w:rPr>
                        </m:ctrlPr>
                      </m:e>
                      <m:sub>
                        <m:r>
                          <m:rPr/>
                          <w:rPr>
                            <w:rFonts w:ascii="Cambria Math" w:hAnsi="Cambria Math"/>
                          </w:rPr>
                          <m:t>2</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z</m:t>
                        </m:r>
                        <m:ctrlPr>
                          <w:rPr>
                            <w:rFonts w:ascii="Cambria Math" w:hAnsi="Cambria Math"/>
                            <w:i/>
                          </w:rPr>
                        </m:ctrlPr>
                      </m:e>
                      <m:sub>
                        <m:r>
                          <m:rPr/>
                          <w:rPr>
                            <w:rFonts w:ascii="Cambria Math" w:hAnsi="Cambria Math"/>
                          </w:rPr>
                          <m:t>1</m:t>
                        </m:r>
                        <m:ctrlPr>
                          <w:rPr>
                            <w:rFonts w:ascii="Cambria Math" w:hAnsi="Cambria Math"/>
                            <w:i/>
                          </w:rPr>
                        </m:ctrlPr>
                      </m:sub>
                    </m:sSub>
                    <m:ctrlPr>
                      <w:rPr>
                        <w:rFonts w:ascii="Cambria Math" w:hAnsi="Cambria Math"/>
                        <w:i/>
                      </w:rPr>
                    </m:ctrlPr>
                  </m:e>
                </m:d>
                <m:r>
                  <m:rPr/>
                  <w:rPr>
                    <w:rFonts w:ascii="Cambria Math" w:hAnsi="Cambria Math"/>
                  </w:rPr>
                  <m:t xml:space="preserve">=0            </m:t>
                </m:r>
                <m:ctrlPr>
                  <w:rPr>
                    <w:rFonts w:ascii="Cambria Math" w:hAnsi="Cambria Math"/>
                  </w:rPr>
                </m:ctrlPr>
              </m:e>
            </m:eqArr>
            <m:ctrlPr>
              <w:rPr>
                <w:rFonts w:ascii="Cambria Math" w:hAnsi="Cambria Math"/>
              </w:rPr>
            </m:ctrlPr>
          </m:e>
        </m:d>
      </m:oMath>
      <w:r>
        <w:rPr>
          <w:rFonts w:hint="eastAsia" w:ascii="宋体" w:hAnsi="宋体"/>
        </w:rPr>
        <w:tab/>
      </w:r>
      <w:r>
        <w:rPr>
          <w:rFonts w:hint="eastAsia" w:ascii="宋体" w:hAnsi="宋体"/>
        </w:rPr>
        <w:tab/>
      </w:r>
      <w:r>
        <w:rPr>
          <w:rFonts w:hint="eastAsia" w:ascii="宋体" w:hAnsi="宋体"/>
        </w:rPr>
        <w:t>(</w:t>
      </w:r>
      <w:r>
        <w:rPr>
          <w:rFonts w:ascii="宋体" w:hAnsi="宋体"/>
        </w:rPr>
        <w:t>9.</w:t>
      </w:r>
      <w:r>
        <w:rPr>
          <w:rFonts w:hint="eastAsia" w:ascii="宋体" w:hAnsi="宋体"/>
        </w:rPr>
        <w:t>4</w:t>
      </w:r>
      <w:r>
        <w:rPr>
          <w:rFonts w:ascii="宋体" w:hAnsi="宋体"/>
        </w:rPr>
        <w:t>.3</w:t>
      </w:r>
      <w:r>
        <w:rPr>
          <w:rFonts w:hint="eastAsia" w:ascii="宋体" w:hAnsi="宋体"/>
        </w:rPr>
        <w:t>)</w:t>
      </w:r>
    </w:p>
    <w:p w14:paraId="17E8DC81">
      <w:pPr>
        <w:spacing w:before="0" w:beforeLines="0" w:line="312" w:lineRule="auto"/>
        <w:ind w:firstLine="480"/>
        <w:rPr>
          <w:rFonts w:ascii="宋体" w:hAnsi="宋体"/>
        </w:rPr>
      </w:pPr>
      <w:r>
        <w:rPr>
          <w:rFonts w:hint="eastAsia" w:ascii="宋体" w:hAnsi="宋体"/>
        </w:rPr>
        <w:t>式中：</w:t>
      </w:r>
      <m:oMath>
        <m:sSub>
          <m:sSubPr>
            <m:ctrlPr>
              <w:rPr>
                <w:rFonts w:ascii="Cambria Math" w:hAnsi="Cambria Math"/>
                <w:i/>
              </w:rPr>
            </m:ctrlPr>
          </m:sSubPr>
          <m:e>
            <m:r>
              <m:rPr/>
              <w:rPr>
                <w:rFonts w:ascii="Cambria Math" w:hAnsi="Cambria Math"/>
              </w:rPr>
              <m:t>F</m:t>
            </m:r>
            <m:ctrlPr>
              <w:rPr>
                <w:rFonts w:ascii="Cambria Math" w:hAnsi="Cambria Math"/>
                <w:i/>
              </w:rPr>
            </m:ctrlPr>
          </m:e>
          <m:sub>
            <m:r>
              <m:rPr/>
              <w:rPr>
                <w:rFonts w:hint="eastAsia" w:ascii="Cambria Math" w:hAnsi="Cambria Math"/>
              </w:rPr>
              <m:t>z</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oMath>
      <w:r>
        <w:rPr>
          <w:rFonts w:hint="eastAsia" w:ascii="宋体" w:hAnsi="宋体"/>
        </w:rPr>
        <w:t>为锻锤打击力（kN</w:t>
      </w:r>
      <w:r>
        <w:rPr>
          <w:rFonts w:ascii="宋体" w:hAnsi="宋体"/>
        </w:rPr>
        <w:t>）</w:t>
      </w:r>
      <w:r>
        <w:rPr>
          <w:rFonts w:hint="eastAsia" w:ascii="宋体" w:hAnsi="宋体"/>
        </w:rPr>
        <w:t>；</w:t>
      </w:r>
    </w:p>
    <w:p w14:paraId="5CC9AE6C">
      <w:pPr>
        <w:spacing w:before="0" w:beforeLines="0" w:line="312" w:lineRule="auto"/>
        <w:ind w:left="420" w:firstLine="480"/>
        <w:rPr>
          <w:rFonts w:ascii="宋体" w:hAnsi="宋体"/>
        </w:rPr>
      </w:pPr>
      <m:oMath>
        <m:sSub>
          <m:sSubPr>
            <m:ctrlPr>
              <w:rPr>
                <w:rFonts w:ascii="Cambria Math" w:hAnsi="Cambria Math"/>
                <w:i/>
              </w:rPr>
            </m:ctrlPr>
          </m:sSubPr>
          <m:e>
            <m:r>
              <m:rPr/>
              <w:rPr>
                <w:rFonts w:ascii="Cambria Math" w:hAnsi="Cambria Math"/>
              </w:rPr>
              <m:t>z</m:t>
            </m:r>
            <m:ctrlPr>
              <w:rPr>
                <w:rFonts w:ascii="Cambria Math" w:hAnsi="Cambria Math"/>
                <w:i/>
              </w:rPr>
            </m:ctrlPr>
          </m:e>
          <m:sub>
            <m:r>
              <m:rPr/>
              <w:rPr>
                <w:rFonts w:ascii="Cambria Math" w:hAnsi="Cambria Math"/>
              </w:rPr>
              <m:t>1</m:t>
            </m:r>
            <m:ctrlPr>
              <w:rPr>
                <w:rFonts w:ascii="Cambria Math" w:hAnsi="Cambria Math"/>
                <w:i/>
              </w:rPr>
            </m:ctrlPr>
          </m:sub>
        </m:sSub>
      </m:oMath>
      <w:r>
        <w:rPr>
          <w:rFonts w:hint="eastAsia" w:ascii="宋体" w:hAnsi="宋体"/>
        </w:rPr>
        <w:t>为基坑振动位移（m）；</w:t>
      </w:r>
    </w:p>
    <w:p w14:paraId="0A3FE73B">
      <w:pPr>
        <w:spacing w:before="0" w:beforeLines="0" w:line="312" w:lineRule="auto"/>
        <w:ind w:left="420" w:firstLine="480"/>
        <w:rPr>
          <w:rFonts w:ascii="宋体" w:hAnsi="宋体"/>
        </w:rPr>
      </w:pPr>
      <m:oMath>
        <m:sSub>
          <m:sSubPr>
            <m:ctrlPr>
              <w:rPr>
                <w:rFonts w:ascii="Cambria Math" w:hAnsi="Cambria Math"/>
                <w:i/>
              </w:rPr>
            </m:ctrlPr>
          </m:sSubPr>
          <m:e>
            <m:r>
              <m:rPr/>
              <w:rPr>
                <w:rFonts w:ascii="Cambria Math" w:hAnsi="Cambria Math"/>
              </w:rPr>
              <m:t>z</m:t>
            </m:r>
            <m:ctrlPr>
              <w:rPr>
                <w:rFonts w:ascii="Cambria Math" w:hAnsi="Cambria Math"/>
                <w:i/>
              </w:rPr>
            </m:ctrlPr>
          </m:e>
          <m:sub>
            <m:r>
              <m:rPr/>
              <w:rPr>
                <w:rFonts w:ascii="Cambria Math" w:hAnsi="Cambria Math"/>
              </w:rPr>
              <m:t>2</m:t>
            </m:r>
            <m:ctrlPr>
              <w:rPr>
                <w:rFonts w:ascii="Cambria Math" w:hAnsi="Cambria Math"/>
                <w:i/>
              </w:rPr>
            </m:ctrlPr>
          </m:sub>
        </m:sSub>
      </m:oMath>
      <w:r>
        <w:rPr>
          <w:rFonts w:hint="eastAsia" w:ascii="宋体" w:hAnsi="宋体"/>
        </w:rPr>
        <w:t>为隔振基础振动位移（m</w:t>
      </w:r>
      <w:r>
        <w:rPr>
          <w:rFonts w:ascii="宋体" w:hAnsi="宋体"/>
        </w:rPr>
        <w:t>）</w:t>
      </w:r>
      <w:r>
        <w:rPr>
          <w:rFonts w:hint="eastAsia" w:ascii="宋体" w:hAnsi="宋体"/>
        </w:rPr>
        <w:t>；</w:t>
      </w:r>
    </w:p>
    <w:p w14:paraId="2093C79E">
      <w:pPr>
        <w:spacing w:before="0" w:beforeLines="0" w:line="312" w:lineRule="auto"/>
        <w:ind w:left="420" w:firstLine="480"/>
        <w:rPr>
          <w:rFonts w:ascii="宋体" w:hAnsi="宋体"/>
        </w:rPr>
      </w:pPr>
      <m:oMath>
        <m:sSub>
          <m:sSubPr>
            <m:ctrlPr>
              <w:rPr>
                <w:rFonts w:ascii="Cambria Math" w:hAnsi="Cambria Math"/>
                <w:i/>
              </w:rPr>
            </m:ctrlPr>
          </m:sSubPr>
          <m:e>
            <m:r>
              <m:rPr/>
              <w:rPr>
                <w:rFonts w:ascii="Cambria Math" w:hAnsi="Cambria Math"/>
              </w:rPr>
              <m:t>k</m:t>
            </m:r>
            <m:ctrlPr>
              <w:rPr>
                <w:rFonts w:ascii="Cambria Math" w:hAnsi="Cambria Math"/>
                <w:i/>
              </w:rPr>
            </m:ctrlPr>
          </m:e>
          <m:sub>
            <m:r>
              <m:rPr/>
              <w:rPr>
                <w:rFonts w:ascii="Cambria Math" w:hAnsi="Cambria Math"/>
              </w:rPr>
              <m:t>1</m:t>
            </m:r>
            <m:ctrlPr>
              <w:rPr>
                <w:rFonts w:ascii="Cambria Math" w:hAnsi="Cambria Math"/>
                <w:i/>
              </w:rPr>
            </m:ctrlPr>
          </m:sub>
        </m:sSub>
      </m:oMath>
      <w:r>
        <w:rPr>
          <w:rFonts w:hint="eastAsia" w:ascii="宋体" w:hAnsi="宋体"/>
        </w:rPr>
        <w:t>为隔振器刚度（kN</w:t>
      </w:r>
      <w:r>
        <w:rPr>
          <w:rFonts w:ascii="宋体" w:hAnsi="宋体"/>
        </w:rPr>
        <w:t>/m）</w:t>
      </w:r>
      <w:r>
        <w:rPr>
          <w:rFonts w:hint="eastAsia" w:ascii="宋体" w:hAnsi="宋体"/>
        </w:rPr>
        <w:t>；</w:t>
      </w:r>
    </w:p>
    <w:p w14:paraId="786FA457">
      <w:pPr>
        <w:spacing w:before="0" w:beforeLines="0" w:line="312" w:lineRule="auto"/>
        <w:ind w:left="420" w:firstLine="480"/>
        <w:rPr>
          <w:rFonts w:ascii="宋体" w:hAnsi="宋体"/>
        </w:rPr>
      </w:pPr>
      <m:oMath>
        <m:sSub>
          <m:sSubPr>
            <m:ctrlPr>
              <w:rPr>
                <w:rFonts w:ascii="Cambria Math" w:hAnsi="Cambria Math"/>
                <w:i/>
              </w:rPr>
            </m:ctrlPr>
          </m:sSubPr>
          <m:e>
            <m:r>
              <m:rPr/>
              <w:rPr>
                <w:rFonts w:ascii="Cambria Math" w:hAnsi="Cambria Math"/>
              </w:rPr>
              <m:t>k</m:t>
            </m:r>
            <m:ctrlPr>
              <w:rPr>
                <w:rFonts w:ascii="Cambria Math" w:hAnsi="Cambria Math"/>
                <w:i/>
              </w:rPr>
            </m:ctrlPr>
          </m:e>
          <m:sub>
            <m:r>
              <m:rPr/>
              <w:rPr>
                <w:rFonts w:ascii="Cambria Math" w:hAnsi="Cambria Math"/>
              </w:rPr>
              <m:t>2</m:t>
            </m:r>
            <m:ctrlPr>
              <w:rPr>
                <w:rFonts w:ascii="Cambria Math" w:hAnsi="Cambria Math"/>
                <w:i/>
              </w:rPr>
            </m:ctrlPr>
          </m:sub>
        </m:sSub>
      </m:oMath>
      <w:r>
        <w:rPr>
          <w:rFonts w:hint="eastAsia" w:ascii="宋体" w:hAnsi="宋体"/>
        </w:rPr>
        <w:t>为地基刚度（kN</w:t>
      </w:r>
      <w:r>
        <w:rPr>
          <w:rFonts w:ascii="宋体" w:hAnsi="宋体"/>
        </w:rPr>
        <w:t>/m）</w:t>
      </w:r>
      <w:r>
        <w:rPr>
          <w:rFonts w:hint="eastAsia" w:ascii="宋体" w:hAnsi="宋体"/>
        </w:rPr>
        <w:t>；</w:t>
      </w:r>
    </w:p>
    <w:p w14:paraId="036AA41D">
      <w:pPr>
        <w:spacing w:before="0" w:beforeLines="0" w:line="312" w:lineRule="auto"/>
        <w:ind w:left="420" w:firstLine="480"/>
        <w:rPr>
          <w:rFonts w:ascii="宋体" w:hAnsi="宋体"/>
        </w:rPr>
      </w:pPr>
      <m:oMath>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1</m:t>
            </m:r>
            <m:ctrlPr>
              <w:rPr>
                <w:rFonts w:ascii="Cambria Math" w:hAnsi="Cambria Math"/>
                <w:i/>
              </w:rPr>
            </m:ctrlPr>
          </m:sub>
        </m:sSub>
      </m:oMath>
      <w:r>
        <w:rPr>
          <w:rFonts w:hint="eastAsia" w:ascii="宋体" w:hAnsi="宋体"/>
        </w:rPr>
        <w:t>为地基阻尼系数（kN</w:t>
      </w:r>
      <w:r>
        <w:rPr>
          <w:rFonts w:ascii="宋体" w:hAnsi="宋体"/>
        </w:rPr>
        <w:t>*</w:t>
      </w:r>
      <w:r>
        <w:rPr>
          <w:rFonts w:hint="eastAsia" w:ascii="宋体" w:hAnsi="宋体"/>
        </w:rPr>
        <w:t>s/m）；</w:t>
      </w:r>
    </w:p>
    <w:p w14:paraId="17EC3C9E">
      <w:pPr>
        <w:spacing w:before="0" w:beforeLines="0" w:line="312" w:lineRule="auto"/>
        <w:ind w:left="420" w:firstLine="480"/>
        <w:rPr>
          <w:rFonts w:ascii="宋体" w:hAnsi="宋体"/>
        </w:rPr>
      </w:pPr>
      <m:oMath>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m:t>
            </m:r>
            <m:ctrlPr>
              <w:rPr>
                <w:rFonts w:ascii="Cambria Math" w:hAnsi="Cambria Math"/>
                <w:i/>
              </w:rPr>
            </m:ctrlPr>
          </m:sub>
        </m:sSub>
      </m:oMath>
      <w:r>
        <w:rPr>
          <w:rFonts w:hint="eastAsia" w:ascii="宋体" w:hAnsi="宋体"/>
        </w:rPr>
        <w:t>为隔振器阻尼系数（kN</w:t>
      </w:r>
      <w:r>
        <w:rPr>
          <w:rFonts w:ascii="宋体" w:hAnsi="宋体"/>
        </w:rPr>
        <w:t>*</w:t>
      </w:r>
      <w:r>
        <w:rPr>
          <w:rFonts w:hint="eastAsia" w:ascii="宋体" w:hAnsi="宋体"/>
        </w:rPr>
        <w:t>s/m）；</w:t>
      </w:r>
    </w:p>
    <w:p w14:paraId="4C3B9477">
      <w:pPr>
        <w:spacing w:before="0" w:beforeLines="0" w:line="312" w:lineRule="auto"/>
        <w:ind w:left="420" w:firstLine="480"/>
        <w:rPr>
          <w:rFonts w:ascii="宋体" w:hAnsi="宋体"/>
        </w:rPr>
      </w:pPr>
      <m:oMath>
        <m:sSub>
          <m:sSubPr>
            <m:ctrlPr>
              <w:rPr>
                <w:rFonts w:ascii="Cambria Math" w:hAnsi="Cambria Math"/>
                <w:i/>
              </w:rPr>
            </m:ctrlPr>
          </m:sSubPr>
          <m:e>
            <m:r>
              <m:rPr/>
              <w:rPr>
                <w:rFonts w:hint="eastAsia" w:ascii="Cambria Math" w:hAnsi="Cambria Math"/>
              </w:rPr>
              <m:t>m</m:t>
            </m:r>
            <m:ctrlPr>
              <w:rPr>
                <w:rFonts w:ascii="Cambria Math" w:hAnsi="Cambria Math"/>
                <w:i/>
              </w:rPr>
            </m:ctrlPr>
          </m:e>
          <m:sub>
            <m:r>
              <m:rPr/>
              <w:rPr>
                <w:rFonts w:ascii="Cambria Math" w:hAnsi="Cambria Math"/>
              </w:rPr>
              <m:t>1</m:t>
            </m:r>
            <m:ctrlPr>
              <w:rPr>
                <w:rFonts w:ascii="Cambria Math" w:hAnsi="Cambria Math"/>
                <w:i/>
              </w:rPr>
            </m:ctrlPr>
          </m:sub>
        </m:sSub>
      </m:oMath>
      <w:r>
        <w:rPr>
          <w:rFonts w:hint="eastAsia" w:ascii="宋体" w:hAnsi="宋体"/>
        </w:rPr>
        <w:t>为基坑质量（t）；</w:t>
      </w:r>
    </w:p>
    <w:p w14:paraId="6CE63043">
      <w:pPr>
        <w:spacing w:before="0" w:beforeLines="0" w:line="312" w:lineRule="auto"/>
        <w:ind w:left="420" w:firstLine="480"/>
        <w:rPr>
          <w:rFonts w:ascii="宋体" w:hAnsi="宋体"/>
        </w:rPr>
      </w:pPr>
      <m:oMath>
        <m:sSub>
          <m:sSubPr>
            <m:ctrlPr>
              <w:rPr>
                <w:rFonts w:ascii="Cambria Math" w:hAnsi="Cambria Math"/>
                <w:i/>
              </w:rPr>
            </m:ctrlPr>
          </m:sSubPr>
          <m:e>
            <m:r>
              <m:rPr/>
              <w:rPr>
                <w:rFonts w:hint="eastAsia" w:ascii="Cambria Math" w:hAnsi="Cambria Math"/>
              </w:rPr>
              <m:t>m</m:t>
            </m:r>
            <m:ctrlPr>
              <w:rPr>
                <w:rFonts w:ascii="Cambria Math" w:hAnsi="Cambria Math"/>
                <w:i/>
              </w:rPr>
            </m:ctrlPr>
          </m:e>
          <m:sub>
            <m:r>
              <m:rPr/>
              <w:rPr>
                <w:rFonts w:ascii="Cambria Math" w:hAnsi="Cambria Math"/>
              </w:rPr>
              <m:t>2</m:t>
            </m:r>
            <m:ctrlPr>
              <w:rPr>
                <w:rFonts w:ascii="Cambria Math" w:hAnsi="Cambria Math"/>
                <w:i/>
              </w:rPr>
            </m:ctrlPr>
          </m:sub>
        </m:sSub>
      </m:oMath>
      <w:r>
        <w:rPr>
          <w:rFonts w:hint="eastAsia" w:ascii="宋体" w:hAnsi="宋体"/>
        </w:rPr>
        <w:t>为隔振器以上的设备和配重块总质量（t）。</w:t>
      </w:r>
    </w:p>
    <w:p w14:paraId="27193330">
      <w:pPr>
        <w:spacing w:before="156"/>
        <w:ind w:firstLine="480"/>
      </w:pPr>
      <w:r>
        <w:rPr>
          <w:rFonts w:hint="eastAsia"/>
        </w:rPr>
        <w:t>9</w:t>
      </w:r>
      <w:r>
        <w:t>.</w:t>
      </w:r>
      <w:r>
        <w:rPr>
          <w:rFonts w:hint="eastAsia"/>
        </w:rPr>
        <w:t>4</w:t>
      </w:r>
      <w:r>
        <w:t>.4</w:t>
      </w:r>
      <w:r>
        <w:rPr>
          <w:rFonts w:hint="eastAsia"/>
        </w:rPr>
        <w:t>计算锻锤隔振基础振动响应，可采用振型分解法或线性加速度积分法。</w:t>
      </w:r>
    </w:p>
    <w:p w14:paraId="1478F972">
      <w:pPr>
        <w:pStyle w:val="4"/>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9.5 数值仿真  </w:t>
      </w:r>
    </w:p>
    <w:p w14:paraId="0E03D455">
      <w:pPr>
        <w:spacing w:before="156"/>
        <w:ind w:firstLine="480"/>
        <w:rPr>
          <w:color w:val="000000" w:themeColor="text1"/>
          <w14:textFill>
            <w14:solidFill>
              <w14:schemeClr w14:val="tx1"/>
            </w14:solidFill>
          </w14:textFill>
        </w:rPr>
      </w:pPr>
      <w:r>
        <w:rPr>
          <w:color w:val="000000" w:themeColor="text1"/>
          <w14:textFill>
            <w14:solidFill>
              <w14:schemeClr w14:val="tx1"/>
            </w14:solidFill>
          </w14:textFill>
        </w:rPr>
        <w:t>9.</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建模方法可包括如下：</w:t>
      </w:r>
    </w:p>
    <w:p w14:paraId="449D74B2">
      <w:pPr>
        <w:spacing w:before="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1采用有限元软件建立锻锤-隔振器-基础-地基耦合模型。</w:t>
      </w:r>
    </w:p>
    <w:p w14:paraId="5450CB79">
      <w:pPr>
        <w:spacing w:before="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2隔振器采用弹簧-阻尼单元模拟，地基采用等效边界或无限元模型。  </w:t>
      </w:r>
    </w:p>
    <w:p w14:paraId="5F761147">
      <w:pPr>
        <w:spacing w:before="156"/>
        <w:ind w:firstLine="480"/>
        <w:rPr>
          <w:color w:val="000000" w:themeColor="text1"/>
          <w14:textFill>
            <w14:solidFill>
              <w14:schemeClr w14:val="tx1"/>
            </w14:solidFill>
          </w14:textFill>
        </w:rPr>
      </w:pPr>
      <w:r>
        <w:rPr>
          <w:color w:val="000000" w:themeColor="text1"/>
          <w14:textFill>
            <w14:solidFill>
              <w14:schemeClr w14:val="tx1"/>
            </w14:solidFill>
          </w14:textFill>
        </w:rPr>
        <w:t>9.</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分析内容应包括：</w:t>
      </w:r>
    </w:p>
    <w:p w14:paraId="4F81B57F">
      <w:pPr>
        <w:spacing w:before="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1模态分析：验证隔振系统固有频率是否避开锻锤工作频段。  </w:t>
      </w:r>
    </w:p>
    <w:p w14:paraId="3E1CA7C6">
      <w:pPr>
        <w:spacing w:before="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2瞬态分析：模拟冲击荷载下的振动衰减过程，评估隔振效果。  </w:t>
      </w:r>
    </w:p>
    <w:p w14:paraId="6C5D1A37">
      <w:pPr>
        <w:spacing w:before="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3谐响应分析：分析频域振动传递特性。  </w:t>
      </w:r>
    </w:p>
    <w:p w14:paraId="4B31C789">
      <w:pPr>
        <w:spacing w:before="156"/>
        <w:ind w:firstLine="480"/>
        <w:rPr>
          <w:color w:val="000000" w:themeColor="text1"/>
          <w14:textFill>
            <w14:solidFill>
              <w14:schemeClr w14:val="tx1"/>
            </w14:solidFill>
          </w14:textFill>
        </w:rPr>
      </w:pPr>
      <w:r>
        <w:rPr>
          <w:color w:val="000000" w:themeColor="text1"/>
          <w14:textFill>
            <w14:solidFill>
              <w14:schemeClr w14:val="tx1"/>
            </w14:solidFill>
          </w14:textFill>
        </w:rPr>
        <w:t>9.</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 </w:t>
      </w:r>
      <w:r>
        <w:rPr>
          <w:rFonts w:hint="eastAsia"/>
          <w:color w:val="000000" w:themeColor="text1"/>
          <w14:textFill>
            <w14:solidFill>
              <w14:schemeClr w14:val="tx1"/>
            </w14:solidFill>
          </w14:textFill>
        </w:rPr>
        <w:t xml:space="preserve">参数优化应包括：  </w:t>
      </w:r>
    </w:p>
    <w:p w14:paraId="4FC0AA49">
      <w:pPr>
        <w:spacing w:before="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1调整隔振器刚度、阻尼比，优化振动控制效果。  </w:t>
      </w:r>
    </w:p>
    <w:p w14:paraId="2D51925B">
      <w:pPr>
        <w:spacing w:before="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2评估不同隔振布置方案对结构受力的影响。  </w:t>
      </w:r>
    </w:p>
    <w:p w14:paraId="7619E99E">
      <w:pPr>
        <w:spacing w:before="156"/>
        <w:ind w:firstLine="480"/>
      </w:pPr>
      <w:r>
        <w:t>9.</w:t>
      </w:r>
      <w:r>
        <w:rPr>
          <w:rFonts w:hint="eastAsia"/>
        </w:rPr>
        <w:t>5</w:t>
      </w:r>
      <w:r>
        <w:t xml:space="preserve">.4 </w:t>
      </w:r>
      <w:r>
        <w:rPr>
          <w:rFonts w:hint="eastAsia"/>
        </w:rPr>
        <w:t>大型锻锤隔振基础需要进行测试验证，仿真结果应与理论计算及现场测试数据对比，误差控制在±10%以内。</w:t>
      </w:r>
    </w:p>
    <w:p w14:paraId="14F8F960">
      <w:pPr>
        <w:pStyle w:val="4"/>
        <w:spacing w:before="156"/>
      </w:pPr>
      <w:r>
        <w:rPr>
          <w:rFonts w:hint="eastAsia"/>
        </w:rPr>
        <w:t>9.6</w:t>
      </w:r>
      <w:r>
        <w:t xml:space="preserve"> </w:t>
      </w:r>
      <w:r>
        <w:rPr>
          <w:rFonts w:hint="eastAsia"/>
        </w:rPr>
        <w:t>隔振器与阻尼器选用</w:t>
      </w:r>
    </w:p>
    <w:p w14:paraId="2527C703">
      <w:pPr>
        <w:spacing w:before="156"/>
        <w:ind w:firstLine="480"/>
      </w:pPr>
      <w:r>
        <w:rPr>
          <w:rFonts w:hint="eastAsia"/>
        </w:rPr>
        <w:t>9.6.1</w:t>
      </w:r>
      <w:r>
        <w:t xml:space="preserve"> </w:t>
      </w:r>
      <w:r>
        <w:rPr>
          <w:rFonts w:hint="eastAsia"/>
        </w:rPr>
        <w:t>隔振器的选用应根据的工作特性、振动频率范围、荷载大小及环境要求等因素综合确定。</w:t>
      </w:r>
    </w:p>
    <w:p w14:paraId="020A7730">
      <w:pPr>
        <w:spacing w:before="156"/>
        <w:ind w:firstLine="480"/>
      </w:pPr>
      <w:r>
        <w:rPr>
          <w:rFonts w:hint="eastAsia"/>
        </w:rPr>
        <w:t>9.6.2 隔振器的设计应满足以下要求：</w:t>
      </w:r>
    </w:p>
    <w:p w14:paraId="668B2FA5">
      <w:pPr>
        <w:spacing w:before="156"/>
        <w:ind w:firstLine="480"/>
      </w:pPr>
      <w:r>
        <w:rPr>
          <w:rFonts w:hint="eastAsia"/>
        </w:rPr>
        <w:t xml:space="preserve">1. 有效降低振动传递率，确保基础及周边环境的振动控制在容许范围内； </w:t>
      </w:r>
    </w:p>
    <w:p w14:paraId="04AFCA87">
      <w:pPr>
        <w:spacing w:before="156"/>
        <w:ind w:firstLine="480"/>
      </w:pPr>
      <w:r>
        <w:rPr>
          <w:rFonts w:hint="eastAsia"/>
        </w:rPr>
        <w:t xml:space="preserve">2. 具备足够的承载能力和稳定性，适应静荷载和动荷载的共同作用； </w:t>
      </w:r>
    </w:p>
    <w:p w14:paraId="66F951A4">
      <w:pPr>
        <w:spacing w:before="156"/>
        <w:ind w:firstLine="480"/>
      </w:pPr>
      <w:r>
        <w:rPr>
          <w:rFonts w:hint="eastAsia"/>
        </w:rPr>
        <w:t xml:space="preserve">3. 耐久性好，能长期承受工作产生的冲击和疲劳荷载； </w:t>
      </w:r>
    </w:p>
    <w:p w14:paraId="05BDEE0D">
      <w:pPr>
        <w:spacing w:before="156"/>
        <w:ind w:firstLine="480"/>
      </w:pPr>
      <w:r>
        <w:rPr>
          <w:rFonts w:hint="eastAsia"/>
        </w:rPr>
        <w:t>4. 便于安装、维护和更换。</w:t>
      </w:r>
    </w:p>
    <w:p w14:paraId="62622AA8">
      <w:pPr>
        <w:spacing w:before="156"/>
        <w:ind w:firstLine="480"/>
      </w:pPr>
      <w:r>
        <w:rPr>
          <w:rFonts w:hint="eastAsia"/>
        </w:rPr>
        <w:t>9.6.3 隔振器的布置应保证基组的整体平衡，避免因隔振器刚度不均导致设备倾斜或振动模态异常。</w:t>
      </w:r>
    </w:p>
    <w:p w14:paraId="1A0DB772">
      <w:pPr>
        <w:spacing w:before="156"/>
        <w:ind w:firstLine="480"/>
      </w:pPr>
      <w:r>
        <w:rPr>
          <w:rFonts w:hint="eastAsia"/>
        </w:rPr>
        <w:t>9.6.4 钢弹簧的设计与选用应符合下列条件：</w:t>
      </w:r>
    </w:p>
    <w:p w14:paraId="7E782FDB">
      <w:pPr>
        <w:spacing w:before="156"/>
        <w:ind w:firstLine="480"/>
      </w:pPr>
      <w:r>
        <w:rPr>
          <w:rFonts w:hint="eastAsia"/>
        </w:rPr>
        <w:t>1</w:t>
      </w:r>
      <w:r>
        <w:t xml:space="preserve"> </w:t>
      </w:r>
      <w:r>
        <w:rPr>
          <w:rFonts w:hint="eastAsia"/>
        </w:rPr>
        <w:t>材料技术条件：钢弹簧应采用优质合金钢，其力学性能应符合现行国家标准《弹簧钢》GB/T 1222的规定。</w:t>
      </w:r>
    </w:p>
    <w:p w14:paraId="449A4158">
      <w:pPr>
        <w:spacing w:before="156"/>
        <w:ind w:firstLine="480"/>
      </w:pPr>
      <w:r>
        <w:rPr>
          <w:rFonts w:hint="eastAsia"/>
        </w:rPr>
        <w:t>2</w:t>
      </w:r>
      <w:r>
        <w:t xml:space="preserve"> </w:t>
      </w:r>
      <w:r>
        <w:rPr>
          <w:rFonts w:hint="eastAsia"/>
        </w:rPr>
        <w:t>弹簧的弹性模量、屈服强度和疲劳极限等力学性能需符合相关标准，确保在工作过程中不会发生塑性变形。</w:t>
      </w:r>
    </w:p>
    <w:p w14:paraId="2F1409A5">
      <w:pPr>
        <w:spacing w:before="156"/>
        <w:ind w:firstLine="480"/>
      </w:pPr>
      <w:r>
        <w:rPr>
          <w:rFonts w:hint="eastAsia"/>
        </w:rPr>
        <w:t>3</w:t>
      </w:r>
      <w:r>
        <w:t xml:space="preserve"> </w:t>
      </w:r>
      <w:r>
        <w:rPr>
          <w:rFonts w:hint="eastAsia"/>
        </w:rPr>
        <w:t>弹簧表面应进行防腐处理，如镀锌、喷塑或涂覆耐油涂层。表面光洁度应符合标准，以减少磨损和提高疲劳寿命。</w:t>
      </w:r>
    </w:p>
    <w:p w14:paraId="5C472E07">
      <w:pPr>
        <w:spacing w:before="156"/>
        <w:ind w:firstLine="480"/>
      </w:pPr>
      <w:r>
        <w:rPr>
          <w:rFonts w:hint="eastAsia"/>
        </w:rPr>
        <w:t>4</w:t>
      </w:r>
      <w:r>
        <w:t xml:space="preserve"> </w:t>
      </w:r>
      <w:r>
        <w:rPr>
          <w:rFonts w:hint="eastAsia"/>
        </w:rPr>
        <w:t>弹簧的尺寸（直径、长度、线径等）应根据锻锤的工作参数和振动特性进行设计。弹簧的形状（如圆形、矩形等）需符合设计标准。</w:t>
      </w:r>
    </w:p>
    <w:p w14:paraId="09615478">
      <w:pPr>
        <w:spacing w:before="156"/>
        <w:ind w:firstLine="480"/>
      </w:pPr>
      <w:r>
        <w:rPr>
          <w:rFonts w:hint="eastAsia"/>
        </w:rPr>
        <w:t>9</w:t>
      </w:r>
      <w:r>
        <w:t>.</w:t>
      </w:r>
      <w:r>
        <w:rPr>
          <w:rFonts w:hint="eastAsia"/>
        </w:rPr>
        <w:t>6.5</w:t>
      </w:r>
      <w:r>
        <w:t xml:space="preserve"> </w:t>
      </w:r>
      <w:r>
        <w:rPr>
          <w:rFonts w:hint="eastAsia"/>
        </w:rPr>
        <w:t>隔振器动态参数选取应符合下列条件：</w:t>
      </w:r>
    </w:p>
    <w:p w14:paraId="4EF4EDB5">
      <w:pPr>
        <w:spacing w:before="156"/>
        <w:ind w:firstLine="480"/>
      </w:pPr>
      <w:r>
        <w:rPr>
          <w:rFonts w:hint="eastAsia"/>
        </w:rPr>
        <w:t>1</w:t>
      </w:r>
      <w:r>
        <w:t xml:space="preserve"> 隔振器应具有三向承载能力，三向刚度和阻尼、大变形等性能。</w:t>
      </w:r>
    </w:p>
    <w:p w14:paraId="255021CE">
      <w:pPr>
        <w:spacing w:before="156"/>
        <w:ind w:firstLine="480"/>
      </w:pPr>
      <w:r>
        <w:rPr>
          <w:rFonts w:hint="eastAsia"/>
        </w:rPr>
        <w:t>2</w:t>
      </w:r>
      <w:r>
        <w:t xml:space="preserve"> 隔振器的额定承载力应符合设计规定，其值不宜小于设计工作荷载的</w:t>
      </w:r>
      <w:r>
        <w:rPr>
          <w:rFonts w:hint="eastAsia"/>
        </w:rPr>
        <w:t>1</w:t>
      </w:r>
      <w:r>
        <w:t>.25倍，并满足疲劳性能要求；</w:t>
      </w:r>
    </w:p>
    <w:p w14:paraId="0E2DA8A4">
      <w:pPr>
        <w:spacing w:before="156"/>
        <w:ind w:firstLine="480"/>
      </w:pPr>
      <w:r>
        <w:rPr>
          <w:rFonts w:hint="eastAsia"/>
        </w:rPr>
        <w:t>3</w:t>
      </w:r>
      <w:r>
        <w:t xml:space="preserve"> 隔振器刚度应性能</w:t>
      </w:r>
      <w:r>
        <w:rPr>
          <w:rFonts w:hint="eastAsia"/>
        </w:rPr>
        <w:t>稳定</w:t>
      </w:r>
      <w:r>
        <w:t>，静刚度与刚度理论值偏差小于</w:t>
      </w:r>
      <w:r>
        <w:rPr>
          <w:rFonts w:hint="eastAsia"/>
        </w:rPr>
        <w:t>1</w:t>
      </w:r>
      <w:r>
        <w:t>5%，动静刚度偏差宜小于</w:t>
      </w:r>
      <w:r>
        <w:rPr>
          <w:rFonts w:hint="eastAsia"/>
        </w:rPr>
        <w:t>1</w:t>
      </w:r>
      <w:r>
        <w:t>0%；</w:t>
      </w:r>
    </w:p>
    <w:p w14:paraId="624D8048">
      <w:pPr>
        <w:spacing w:before="156"/>
        <w:ind w:firstLine="480"/>
      </w:pPr>
      <w:r>
        <w:rPr>
          <w:rFonts w:hint="eastAsia"/>
        </w:rPr>
        <w:t>9.6.6 阻尼材料的设计与选用应符合下列条件：</w:t>
      </w:r>
    </w:p>
    <w:p w14:paraId="5F4891C9">
      <w:pPr>
        <w:spacing w:before="156"/>
        <w:ind w:firstLine="480"/>
      </w:pPr>
      <w:r>
        <w:rPr>
          <w:rFonts w:hint="eastAsia"/>
        </w:rPr>
        <w:t>1</w:t>
      </w:r>
      <w:r>
        <w:t xml:space="preserve"> </w:t>
      </w:r>
      <w:r>
        <w:rPr>
          <w:rFonts w:hint="eastAsia"/>
        </w:rPr>
        <w:t>阻尼材料宜采用橡胶、聚氨酯等高分子材料，其性能应符合《工程橡胶制品通用规范》HG/T 2196的要求。</w:t>
      </w:r>
    </w:p>
    <w:p w14:paraId="7E0DAC99">
      <w:pPr>
        <w:spacing w:before="156"/>
        <w:ind w:firstLine="480"/>
      </w:pPr>
      <w:r>
        <w:rPr>
          <w:rFonts w:hint="eastAsia"/>
        </w:rPr>
        <w:t>2</w:t>
      </w:r>
      <w:r>
        <w:t xml:space="preserve"> </w:t>
      </w:r>
      <w:r>
        <w:rPr>
          <w:rFonts w:hint="eastAsia"/>
        </w:rPr>
        <w:t>材料应具备耐油、耐老化特性，适应工业环境。</w:t>
      </w:r>
    </w:p>
    <w:p w14:paraId="6174A4BD">
      <w:pPr>
        <w:spacing w:before="156"/>
        <w:ind w:firstLine="480"/>
      </w:pPr>
      <w:r>
        <w:rPr>
          <w:rFonts w:hint="eastAsia"/>
        </w:rPr>
        <w:t>3</w:t>
      </w:r>
      <w:r>
        <w:t xml:space="preserve"> </w:t>
      </w:r>
      <w:r>
        <w:rPr>
          <w:rFonts w:hint="eastAsia"/>
        </w:rPr>
        <w:t>锻锤隔振阻尼参数选取应根据振动控制目标确定，</w:t>
      </w:r>
      <m:oMath>
        <m:r>
          <m:rPr>
            <m:sty m:val="p"/>
          </m:rPr>
          <w:rPr>
            <w:rFonts w:ascii="Cambria Math" w:hAnsi="Cambria Math"/>
          </w:rPr>
          <m:t>ζ</m:t>
        </m:r>
      </m:oMath>
      <w:r>
        <w:rPr>
          <w:rFonts w:hint="eastAsia"/>
        </w:rPr>
        <w:t>宜为0.</w:t>
      </w:r>
      <w:r>
        <w:t>08</w:t>
      </w:r>
      <w:r>
        <w:rPr>
          <w:rFonts w:hint="eastAsia"/>
        </w:rPr>
        <w:t>~0.</w:t>
      </w:r>
      <w:r>
        <w:t>3</w:t>
      </w:r>
      <w:r>
        <w:rPr>
          <w:rFonts w:hint="eastAsia"/>
        </w:rPr>
        <w:t>0；</w:t>
      </w:r>
    </w:p>
    <w:p w14:paraId="37E2E166">
      <w:pPr>
        <w:spacing w:before="156"/>
        <w:ind w:firstLine="480"/>
      </w:pPr>
      <w:r>
        <w:rPr>
          <w:rFonts w:hint="eastAsia"/>
        </w:rPr>
        <w:t>4</w:t>
      </w:r>
      <w:r>
        <w:t xml:space="preserve"> 阻尼器阻尼系数应通过试验取得，宜取</w:t>
      </w:r>
      <w:r>
        <w:rPr>
          <w:rFonts w:hint="eastAsia"/>
        </w:rPr>
        <w:t>1</w:t>
      </w:r>
      <w:r>
        <w:t>0Hz频率下的阻尼系数值；</w:t>
      </w:r>
    </w:p>
    <w:p w14:paraId="15EDD7E1">
      <w:pPr>
        <w:spacing w:before="156"/>
        <w:ind w:firstLine="480"/>
      </w:pPr>
      <w:r>
        <w:rPr>
          <w:rFonts w:hint="eastAsia"/>
        </w:rPr>
        <w:t>5</w:t>
      </w:r>
      <w:r>
        <w:t xml:space="preserve"> 阻尼器的阻尼</w:t>
      </w:r>
      <w:r>
        <w:rPr>
          <w:rFonts w:hint="eastAsia"/>
        </w:rPr>
        <w:t>材料</w:t>
      </w:r>
      <w:r>
        <w:t>随温度变化</w:t>
      </w:r>
      <w:r>
        <w:rPr>
          <w:rFonts w:hint="eastAsia"/>
        </w:rPr>
        <w:t>应</w:t>
      </w:r>
      <w:r>
        <w:t>性能稳定不挥发；</w:t>
      </w:r>
    </w:p>
    <w:p w14:paraId="232D8B39">
      <w:pPr>
        <w:spacing w:before="156"/>
        <w:ind w:firstLine="480"/>
      </w:pPr>
      <w:r>
        <w:rPr>
          <w:rFonts w:hint="eastAsia"/>
        </w:rPr>
        <w:t>6</w:t>
      </w:r>
      <w:r>
        <w:t xml:space="preserve"> </w:t>
      </w:r>
      <w:r>
        <w:rPr>
          <w:rFonts w:hint="eastAsia"/>
        </w:rPr>
        <w:t>阻尼特性曲线应包含阻尼材料的动态刚度-频率曲线和损耗因子-温度曲线。</w:t>
      </w:r>
    </w:p>
    <w:p w14:paraId="55CED8D5">
      <w:pPr>
        <w:spacing w:before="156"/>
        <w:ind w:firstLine="480"/>
      </w:pPr>
      <w:r>
        <w:rPr>
          <w:rFonts w:hint="eastAsia"/>
        </w:rPr>
        <w:t>7</w:t>
      </w:r>
      <w:r>
        <w:t xml:space="preserve"> </w:t>
      </w:r>
      <w:r>
        <w:rPr>
          <w:rFonts w:hint="eastAsia"/>
        </w:rPr>
        <w:t>阻尼选用应根据振动频率范围选择阻尼材料的类型；结合钢弹簧或其他隔振元件，形成复合隔振系统。</w:t>
      </w:r>
    </w:p>
    <w:p w14:paraId="762C306E">
      <w:pPr>
        <w:spacing w:before="156"/>
        <w:ind w:firstLine="480"/>
      </w:pPr>
      <w:r>
        <w:rPr>
          <w:rFonts w:hint="eastAsia"/>
        </w:rPr>
        <w:t>9.6.7</w:t>
      </w:r>
      <w:r>
        <w:t xml:space="preserve"> </w:t>
      </w:r>
      <w:r>
        <w:rPr>
          <w:rFonts w:hint="eastAsia"/>
        </w:rPr>
        <w:t>阻尼弹簧隔振器应满足以下技术指标：</w:t>
      </w:r>
    </w:p>
    <w:p w14:paraId="7A4E3B79">
      <w:pPr>
        <w:spacing w:before="156"/>
        <w:ind w:firstLine="480"/>
      </w:pPr>
      <w:r>
        <w:rPr>
          <w:rFonts w:hint="eastAsia"/>
        </w:rPr>
        <w:t>1</w:t>
      </w:r>
      <w:r>
        <w:t xml:space="preserve"> </w:t>
      </w:r>
      <w:r>
        <w:rPr>
          <w:rFonts w:hint="eastAsia"/>
        </w:rPr>
        <w:t>静态性能：额定荷载下的变形量应符合设计要求，偏差不超过±10%；</w:t>
      </w:r>
    </w:p>
    <w:p w14:paraId="58ACCAD0">
      <w:pPr>
        <w:spacing w:before="156"/>
        <w:ind w:firstLine="480"/>
      </w:pPr>
      <w:r>
        <w:rPr>
          <w:rFonts w:hint="eastAsia"/>
        </w:rPr>
        <w:t>长期使用后刚度变化率应小于5%。</w:t>
      </w:r>
    </w:p>
    <w:p w14:paraId="687F7947">
      <w:pPr>
        <w:spacing w:before="156"/>
        <w:ind w:firstLine="480"/>
      </w:pPr>
      <w:r>
        <w:rPr>
          <w:rFonts w:hint="eastAsia"/>
        </w:rPr>
        <w:t>2</w:t>
      </w:r>
      <w:r>
        <w:t xml:space="preserve"> </w:t>
      </w:r>
      <w:r>
        <w:rPr>
          <w:rFonts w:hint="eastAsia"/>
        </w:rPr>
        <w:t xml:space="preserve">动态性能： 在工作频率范围内，振动传递率不应大于20%； </w:t>
      </w:r>
    </w:p>
    <w:p w14:paraId="7D5C96E5">
      <w:pPr>
        <w:spacing w:before="156"/>
        <w:ind w:firstLine="480"/>
      </w:pPr>
      <w:r>
        <w:rPr>
          <w:rFonts w:hint="eastAsia"/>
        </w:rPr>
        <w:t>阻尼比应稳定在</w:t>
      </w:r>
      <w:r>
        <w:t>0.1~0.3</w:t>
      </w:r>
      <w:r>
        <w:rPr>
          <w:rFonts w:hint="eastAsia"/>
        </w:rPr>
        <w:t>之间。</w:t>
      </w:r>
    </w:p>
    <w:p w14:paraId="320A5B4D">
      <w:pPr>
        <w:spacing w:before="156"/>
        <w:ind w:firstLine="480"/>
      </w:pPr>
      <w:r>
        <w:rPr>
          <w:rFonts w:hint="eastAsia"/>
        </w:rPr>
        <w:t>3</w:t>
      </w:r>
      <w:r>
        <w:t xml:space="preserve"> </w:t>
      </w:r>
      <w:r>
        <w:rPr>
          <w:rFonts w:hint="eastAsia"/>
        </w:rPr>
        <w:t>环境适应性：工作温度范围为-20℃~+60℃；</w:t>
      </w:r>
    </w:p>
    <w:p w14:paraId="525D6AA5">
      <w:pPr>
        <w:spacing w:before="156"/>
        <w:ind w:firstLine="480"/>
      </w:pPr>
      <w:r>
        <w:rPr>
          <w:rFonts w:hint="eastAsia"/>
        </w:rPr>
        <w:t>4</w:t>
      </w:r>
      <w:r>
        <w:t xml:space="preserve"> </w:t>
      </w:r>
      <w:r>
        <w:rPr>
          <w:rFonts w:hint="eastAsia"/>
        </w:rPr>
        <w:t>耐腐蚀性能应满足工业环境要求。</w:t>
      </w:r>
    </w:p>
    <w:p w14:paraId="442C2C1B">
      <w:pPr>
        <w:spacing w:before="156"/>
        <w:ind w:firstLine="480"/>
      </w:pPr>
      <w:r>
        <w:rPr>
          <w:rFonts w:hint="eastAsia"/>
        </w:rPr>
        <w:t>9.6.8</w:t>
      </w:r>
      <w:r>
        <w:t xml:space="preserve"> </w:t>
      </w:r>
      <w:r>
        <w:rPr>
          <w:rFonts w:hint="eastAsia"/>
        </w:rPr>
        <w:t>阻尼弹簧隔振器的安装应符合下列规定：</w:t>
      </w:r>
    </w:p>
    <w:p w14:paraId="6DA4D38F">
      <w:pPr>
        <w:spacing w:before="156"/>
        <w:ind w:firstLine="480"/>
      </w:pPr>
      <w:r>
        <w:rPr>
          <w:rFonts w:hint="eastAsia"/>
        </w:rPr>
        <w:t>1</w:t>
      </w:r>
      <w:r>
        <w:t xml:space="preserve"> </w:t>
      </w:r>
      <w:r>
        <w:rPr>
          <w:rFonts w:hint="eastAsia"/>
        </w:rPr>
        <w:t>安装前应检查隔振器的型号、规格及荷载匹配性；</w:t>
      </w:r>
    </w:p>
    <w:p w14:paraId="6755074A">
      <w:pPr>
        <w:spacing w:before="156"/>
        <w:ind w:firstLine="480"/>
      </w:pPr>
      <w:r>
        <w:rPr>
          <w:rFonts w:hint="eastAsia"/>
        </w:rPr>
        <w:t>2</w:t>
      </w:r>
      <w:r>
        <w:t xml:space="preserve"> </w:t>
      </w:r>
      <w:r>
        <w:rPr>
          <w:rFonts w:hint="eastAsia"/>
        </w:rPr>
        <w:t>隔振器与基础和设备的连接应牢固，避免松动或偏移；</w:t>
      </w:r>
    </w:p>
    <w:p w14:paraId="440582EA">
      <w:pPr>
        <w:spacing w:before="156"/>
        <w:ind w:firstLine="480"/>
      </w:pPr>
      <w:r>
        <w:rPr>
          <w:rFonts w:hint="eastAsia"/>
        </w:rPr>
        <w:t>3</w:t>
      </w:r>
      <w:r>
        <w:t xml:space="preserve"> </w:t>
      </w:r>
      <w:r>
        <w:rPr>
          <w:rFonts w:hint="eastAsia"/>
        </w:rPr>
        <w:t>安装后应进行振动测试，确保隔振效果达到设计要求。</w:t>
      </w:r>
    </w:p>
    <w:p w14:paraId="10E8FBA2">
      <w:pPr>
        <w:spacing w:before="156"/>
        <w:ind w:firstLine="480"/>
      </w:pPr>
      <w:r>
        <w:rPr>
          <w:rFonts w:hint="eastAsia"/>
        </w:rPr>
        <w:t>9.6.9</w:t>
      </w:r>
      <w:r>
        <w:t xml:space="preserve"> </w:t>
      </w:r>
      <w:r>
        <w:rPr>
          <w:rFonts w:hint="eastAsia"/>
        </w:rPr>
        <w:t xml:space="preserve">隔振器的维护与更换： </w:t>
      </w:r>
    </w:p>
    <w:p w14:paraId="550A41AE">
      <w:pPr>
        <w:spacing w:before="156"/>
        <w:ind w:firstLine="480"/>
      </w:pPr>
      <w:r>
        <w:rPr>
          <w:rFonts w:hint="eastAsia"/>
        </w:rPr>
        <w:t>1</w:t>
      </w:r>
      <w:r>
        <w:t xml:space="preserve"> </w:t>
      </w:r>
      <w:r>
        <w:rPr>
          <w:rFonts w:hint="eastAsia"/>
        </w:rPr>
        <w:t xml:space="preserve">定期检查隔振器的变形、锈蚀及老化情况； </w:t>
      </w:r>
    </w:p>
    <w:p w14:paraId="05868329">
      <w:pPr>
        <w:spacing w:before="156"/>
        <w:ind w:firstLine="480"/>
      </w:pPr>
      <w:r>
        <w:rPr>
          <w:rFonts w:hint="eastAsia"/>
        </w:rPr>
        <w:t>2</w:t>
      </w:r>
      <w:r>
        <w:t xml:space="preserve"> </w:t>
      </w:r>
      <w:r>
        <w:rPr>
          <w:rFonts w:hint="eastAsia"/>
        </w:rPr>
        <w:t xml:space="preserve">发现异常时应及时更换，避免影响隔振效果和设备安全。 </w:t>
      </w:r>
    </w:p>
    <w:p w14:paraId="272DC861">
      <w:pPr>
        <w:pStyle w:val="3"/>
      </w:pPr>
      <w:r>
        <w:t>1</w:t>
      </w:r>
      <w:r>
        <w:rPr>
          <w:rFonts w:hint="eastAsia"/>
        </w:rPr>
        <w:t>0、基础构造措施</w:t>
      </w:r>
    </w:p>
    <w:p w14:paraId="226CE8B0">
      <w:pPr>
        <w:pStyle w:val="4"/>
        <w:spacing w:before="156"/>
      </w:pPr>
      <w:r>
        <w:t>1</w:t>
      </w:r>
      <w:r>
        <w:rPr>
          <w:rFonts w:hint="eastAsia"/>
        </w:rPr>
        <w:t>0.1</w:t>
      </w:r>
      <w:r>
        <w:t xml:space="preserve"> </w:t>
      </w:r>
      <w:r>
        <w:rPr>
          <w:rFonts w:hint="eastAsia"/>
        </w:rPr>
        <w:t>一般规定</w:t>
      </w:r>
    </w:p>
    <w:p w14:paraId="67FE34A9">
      <w:pPr>
        <w:spacing w:before="156"/>
        <w:ind w:firstLine="480"/>
      </w:pPr>
      <w:r>
        <w:t>1</w:t>
      </w:r>
      <w:r>
        <w:rPr>
          <w:rFonts w:hint="eastAsia"/>
        </w:rPr>
        <w:t>0</w:t>
      </w:r>
      <w:r>
        <w:t xml:space="preserve">.1.1 </w:t>
      </w:r>
      <w:r>
        <w:rPr>
          <w:rFonts w:hint="eastAsia"/>
        </w:rPr>
        <w:t xml:space="preserve"> 锻锤基础构造设计应满足以下要求：</w:t>
      </w:r>
    </w:p>
    <w:p w14:paraId="451254A3">
      <w:pPr>
        <w:spacing w:before="156"/>
        <w:ind w:firstLine="480"/>
      </w:pPr>
      <w:r>
        <w:rPr>
          <w:rFonts w:hint="eastAsia"/>
        </w:rPr>
        <w:t>1强度要求：应能承受最大冲击荷载作用下的压应力和拉应力，确保不发生结构破坏；</w:t>
      </w:r>
    </w:p>
    <w:p w14:paraId="6EFBF039">
      <w:pPr>
        <w:spacing w:before="156"/>
        <w:ind w:firstLine="480"/>
      </w:pPr>
      <w:r>
        <w:rPr>
          <w:rFonts w:hint="eastAsia"/>
        </w:rPr>
        <w:t>2刚度要求：控制基础的振动幅值，避免影响设备精度和周边建筑安全；</w:t>
      </w:r>
    </w:p>
    <w:p w14:paraId="54CF78CF">
      <w:pPr>
        <w:spacing w:before="156"/>
        <w:ind w:firstLine="480"/>
      </w:pPr>
      <w:r>
        <w:rPr>
          <w:rFonts w:hint="eastAsia"/>
        </w:rPr>
        <w:t>3耐久性要求：应具备抗渗、抗冻、抗腐蚀等性能，确保长期使用可靠性；</w:t>
      </w:r>
    </w:p>
    <w:p w14:paraId="49E89189">
      <w:pPr>
        <w:spacing w:before="156"/>
        <w:ind w:firstLine="480"/>
      </w:pPr>
      <w:r>
        <w:rPr>
          <w:rFonts w:hint="eastAsia"/>
        </w:rPr>
        <w:t>4抗疲劳性要求：应能承受长期交变冲击荷载，防止疲劳开裂；</w:t>
      </w:r>
    </w:p>
    <w:p w14:paraId="5C913942">
      <w:pPr>
        <w:spacing w:before="156"/>
        <w:ind w:firstLine="480"/>
      </w:pPr>
      <w:r>
        <w:rPr>
          <w:rFonts w:hint="eastAsia"/>
        </w:rPr>
        <w:t>5抗冲击韧性要求：材料应具有良好韧性，避免脆性破坏。</w:t>
      </w:r>
    </w:p>
    <w:p w14:paraId="5425E3F1">
      <w:pPr>
        <w:spacing w:before="156"/>
        <w:ind w:firstLine="480"/>
      </w:pPr>
      <w:r>
        <w:rPr>
          <w:rFonts w:hint="eastAsia"/>
        </w:rPr>
        <w:t>1</w:t>
      </w:r>
      <w:r>
        <w:t>0</w:t>
      </w:r>
      <w:r>
        <w:rPr>
          <w:rFonts w:hint="eastAsia"/>
        </w:rPr>
        <w:t>.1.2</w:t>
      </w:r>
      <w:r>
        <w:t xml:space="preserve"> </w:t>
      </w:r>
      <w:r>
        <w:rPr>
          <w:rFonts w:hint="eastAsia"/>
        </w:rPr>
        <w:t>锻锤基础下地基持力层范围内，遇到特殊地质条件时应进行专项地基处理，包括地基处理或采用桩基。当采用桩基时，应按照抗拔桩设计，并满足《建筑桩基技术规范》JGJ 94的有关要求。</w:t>
      </w:r>
    </w:p>
    <w:p w14:paraId="5F6F8498">
      <w:pPr>
        <w:spacing w:before="156"/>
        <w:ind w:firstLine="480"/>
      </w:pPr>
      <w:r>
        <w:t xml:space="preserve">10.1.3 </w:t>
      </w:r>
      <w:r>
        <w:rPr>
          <w:rFonts w:hint="eastAsia"/>
        </w:rPr>
        <w:t>构造设计应符合工艺要求，并满足：</w:t>
      </w:r>
    </w:p>
    <w:p w14:paraId="030E0DEA">
      <w:pPr>
        <w:spacing w:before="156"/>
        <w:ind w:firstLine="480"/>
      </w:pPr>
      <w:r>
        <w:rPr>
          <w:rFonts w:hint="eastAsia"/>
        </w:rPr>
        <w:t>1设备安装要求：合理设置预埋件、地脚螺栓孔，保证安装精度；</w:t>
      </w:r>
    </w:p>
    <w:p w14:paraId="0AAE95AC">
      <w:pPr>
        <w:spacing w:before="156"/>
        <w:ind w:firstLine="480"/>
      </w:pPr>
      <w:r>
        <w:rPr>
          <w:rFonts w:hint="eastAsia"/>
        </w:rPr>
        <w:t>2维护检修要求：预留检修通道、观测孔，便于后期维护；</w:t>
      </w:r>
    </w:p>
    <w:p w14:paraId="4A4E9069">
      <w:pPr>
        <w:spacing w:before="156"/>
        <w:ind w:firstLine="480"/>
      </w:pPr>
      <w:r>
        <w:rPr>
          <w:rFonts w:hint="eastAsia"/>
        </w:rPr>
        <w:t xml:space="preserve">3工艺适应性：基础结构不应妨碍锻锤正常操作及工艺调整。  </w:t>
      </w:r>
    </w:p>
    <w:p w14:paraId="23A8FE48">
      <w:pPr>
        <w:spacing w:before="156"/>
        <w:ind w:firstLine="480"/>
      </w:pPr>
      <w:r>
        <w:t>1</w:t>
      </w:r>
      <w:r>
        <w:rPr>
          <w:rFonts w:hint="eastAsia"/>
        </w:rPr>
        <w:t>0</w:t>
      </w:r>
      <w:r>
        <w:t xml:space="preserve">.1.4 </w:t>
      </w:r>
      <w:r>
        <w:rPr>
          <w:rFonts w:hint="eastAsia"/>
        </w:rPr>
        <w:t>基础形式选择应符合以下原则：</w:t>
      </w:r>
    </w:p>
    <w:p w14:paraId="36B59567">
      <w:pPr>
        <w:spacing w:before="156"/>
        <w:ind w:firstLine="480"/>
      </w:pPr>
      <w:r>
        <w:rPr>
          <w:rFonts w:hint="eastAsia"/>
        </w:rPr>
        <w:t>1大块式基础：适用于中小型锻锤，地质条件较好且环境振动要求不高的场合；</w:t>
      </w:r>
    </w:p>
    <w:p w14:paraId="51AFE6B9">
      <w:pPr>
        <w:spacing w:before="156"/>
        <w:ind w:firstLine="480"/>
      </w:pPr>
      <w:r>
        <w:rPr>
          <w:rFonts w:hint="eastAsia"/>
        </w:rPr>
        <w:t>2地坑式基础：适用于大型锻锤、软弱地基或对振动控制要求严格的场合；</w:t>
      </w:r>
    </w:p>
    <w:p w14:paraId="44E89A90">
      <w:pPr>
        <w:spacing w:before="156"/>
        <w:ind w:firstLine="480"/>
      </w:pPr>
      <w:r>
        <w:rPr>
          <w:rFonts w:hint="eastAsia"/>
        </w:rPr>
        <w:t>3在砧座凹坑顶部钢筋网范围内宜采用细石混凝土浇筑，施工时应确保砧座凹坑下的钢筋位置正确。</w:t>
      </w:r>
    </w:p>
    <w:p w14:paraId="261D2025">
      <w:pPr>
        <w:spacing w:before="156"/>
        <w:ind w:firstLine="480"/>
      </w:pPr>
      <w:r>
        <w:rPr>
          <w:rFonts w:hint="eastAsia"/>
        </w:rPr>
        <w:t>4砧座凹坑底的混凝土顶面，应严格保证其水平度，并在基础砼初凝后、终凝前找平，不得在混凝土凝固后另用砂浆找平；</w:t>
      </w:r>
    </w:p>
    <w:p w14:paraId="4666E489">
      <w:pPr>
        <w:spacing w:before="156"/>
        <w:ind w:firstLine="480"/>
      </w:pPr>
      <w:r>
        <w:rPr>
          <w:rFonts w:hint="eastAsia"/>
        </w:rPr>
        <w:t>5锻锤基础在砧座垫层下1.5m高度范围内，不得留设施工缝；</w:t>
      </w:r>
    </w:p>
    <w:p w14:paraId="4BD47D4C">
      <w:pPr>
        <w:spacing w:before="156"/>
        <w:ind w:firstLine="480"/>
      </w:pPr>
      <w:r>
        <w:rPr>
          <w:rFonts w:hint="eastAsia"/>
        </w:rPr>
        <w:t>10.1.</w:t>
      </w:r>
      <w:r>
        <w:t>5</w:t>
      </w:r>
      <w:r>
        <w:rPr>
          <w:rFonts w:hint="eastAsia"/>
        </w:rPr>
        <w:t xml:space="preserve"> 隔振基础设计应符合下列规定：</w:t>
      </w:r>
    </w:p>
    <w:p w14:paraId="3730B16F">
      <w:pPr>
        <w:spacing w:before="156"/>
        <w:ind w:firstLine="480"/>
      </w:pPr>
      <w:r>
        <w:rPr>
          <w:rFonts w:hint="eastAsia"/>
        </w:rPr>
        <w:t>1隔振方式可采用橡胶隔振器、弹簧隔振系统或复合隔振装置；</w:t>
      </w:r>
    </w:p>
    <w:p w14:paraId="2D891161">
      <w:pPr>
        <w:spacing w:before="156"/>
        <w:ind w:firstLine="480"/>
      </w:pPr>
      <w:r>
        <w:rPr>
          <w:rFonts w:hint="eastAsia"/>
        </w:rPr>
        <w:t>2</w:t>
      </w:r>
      <w:r>
        <w:t xml:space="preserve"> </w:t>
      </w:r>
      <w:r>
        <w:rPr>
          <w:rFonts w:hint="eastAsia"/>
        </w:rPr>
        <w:t>隔振系统固有频率宜避开锻锤工作频率，避免冲击共振。当隔振系统阻尼比大于0.15是，可不考虑冲击共振的影响。</w:t>
      </w:r>
    </w:p>
    <w:p w14:paraId="217F1360">
      <w:pPr>
        <w:spacing w:before="156"/>
        <w:ind w:firstLine="480"/>
      </w:pPr>
      <w:r>
        <w:rPr>
          <w:rFonts w:hint="eastAsia"/>
        </w:rPr>
        <w:t>3隔振效率应满足环境振动限值要求，必要时设置隔振沟；</w:t>
      </w:r>
    </w:p>
    <w:p w14:paraId="154ECB8B">
      <w:pPr>
        <w:spacing w:before="156"/>
        <w:ind w:firstLine="480"/>
      </w:pPr>
      <w:r>
        <w:rPr>
          <w:rFonts w:hint="eastAsia"/>
        </w:rPr>
        <w:t>4隔振元件应便于检查、更换，并具有足够的耐久性。</w:t>
      </w:r>
    </w:p>
    <w:p w14:paraId="1527D869">
      <w:pPr>
        <w:pStyle w:val="4"/>
        <w:spacing w:before="156"/>
      </w:pPr>
      <w:r>
        <w:rPr>
          <w:rFonts w:hint="eastAsia"/>
        </w:rPr>
        <w:t xml:space="preserve">10.2 基础材料 </w:t>
      </w:r>
    </w:p>
    <w:p w14:paraId="6225FB39">
      <w:pPr>
        <w:spacing w:before="156"/>
        <w:ind w:firstLine="480"/>
      </w:pPr>
      <w:r>
        <w:t>1</w:t>
      </w:r>
      <w:r>
        <w:rPr>
          <w:rFonts w:hint="eastAsia"/>
        </w:rPr>
        <w:t>0</w:t>
      </w:r>
      <w:r>
        <w:t>.2.1</w:t>
      </w:r>
      <w:r>
        <w:rPr>
          <w:rFonts w:hint="eastAsia"/>
        </w:rPr>
        <w:t>锻锤基础混凝土的选用应符合下列规定：</w:t>
      </w:r>
    </w:p>
    <w:p w14:paraId="5DCFF81E">
      <w:pPr>
        <w:spacing w:before="156"/>
        <w:ind w:firstLine="480"/>
      </w:pPr>
      <w:r>
        <w:rPr>
          <w:rFonts w:hint="eastAsia"/>
        </w:rPr>
        <w:t>1锻锤</w:t>
      </w:r>
      <w:r>
        <w:rPr>
          <w:rFonts w:cs="Times New Roman"/>
          <w:bCs/>
          <w:szCs w:val="32"/>
        </w:rPr>
        <w:t>基础宜采用整体式混凝土结构</w:t>
      </w:r>
      <w:r>
        <w:rPr>
          <w:rFonts w:hint="eastAsia" w:cs="Times New Roman"/>
          <w:bCs/>
          <w:szCs w:val="32"/>
        </w:rPr>
        <w:t>，</w:t>
      </w:r>
      <w:r>
        <w:rPr>
          <w:rFonts w:hint="eastAsia"/>
        </w:rPr>
        <w:t>直接承受冲击荷载的部分应采用强度等级不低于C35的混凝土；非直接受冲击部分（如基坑侧壁）可采用C30。并满足现行国家标准规范《混凝土结构设计标准》GB/T 50010、《建筑与市政工程防水通用规范》GB 55030等的要求；基础垫层混凝土强度等级不应低于C15，地下水有腐蚀性时，应满足防腐蚀规范的有关要求。</w:t>
      </w:r>
    </w:p>
    <w:p w14:paraId="0E6E8F29">
      <w:pPr>
        <w:spacing w:before="156"/>
        <w:ind w:firstLine="480"/>
      </w:pPr>
      <w:r>
        <w:rPr>
          <w:rFonts w:hint="eastAsia"/>
        </w:rPr>
        <w:t>2当锻锤基础位于地下水位较高或潮湿环境时，应采用防水混凝土，抗渗等级：一般不应低于P6，对于高地下水压或腐蚀性环境特殊情况下，不宜低于P8。</w:t>
      </w:r>
    </w:p>
    <w:p w14:paraId="19FFC9C6">
      <w:pPr>
        <w:spacing w:before="156"/>
        <w:ind w:firstLine="480"/>
      </w:pPr>
      <w:r>
        <w:rPr>
          <w:rFonts w:hint="eastAsia"/>
        </w:rPr>
        <w:t>3混凝土骨料宜采用坚硬、级配良好的粗骨料，以提高混凝土的抗冲击能力。</w:t>
      </w:r>
    </w:p>
    <w:p w14:paraId="4276DFD3">
      <w:pPr>
        <w:spacing w:before="156"/>
        <w:ind w:firstLine="480"/>
      </w:pPr>
      <w:r>
        <w:t>1</w:t>
      </w:r>
      <w:r>
        <w:rPr>
          <w:rFonts w:hint="eastAsia"/>
        </w:rPr>
        <w:t>0</w:t>
      </w:r>
      <w:r>
        <w:t xml:space="preserve">.2.2 </w:t>
      </w:r>
      <w:r>
        <w:rPr>
          <w:rFonts w:hint="eastAsia"/>
        </w:rPr>
        <w:t>钢筋的选用应符合下列规定：</w:t>
      </w:r>
    </w:p>
    <w:p w14:paraId="657589E0">
      <w:pPr>
        <w:spacing w:before="156"/>
        <w:ind w:firstLine="480"/>
      </w:pPr>
      <w:r>
        <w:rPr>
          <w:rFonts w:hint="eastAsia"/>
        </w:rPr>
        <w:t xml:space="preserve">1受力钢筋应采用HRB400、HRB500钢筋，其它部位可采用HRBF400、HRBF500钢筋，钢筋的连接不宜采用焊接接头。  </w:t>
      </w:r>
    </w:p>
    <w:p w14:paraId="6937499D">
      <w:pPr>
        <w:spacing w:before="156"/>
        <w:ind w:firstLine="480"/>
      </w:pPr>
      <w:r>
        <w:rPr>
          <w:rFonts w:hint="eastAsia"/>
        </w:rPr>
        <w:t xml:space="preserve">2构造钢筋可采用HRBF400、HRBF500级，最小配筋率应符合《混凝土结构设计标准》GB 50010的要求。  </w:t>
      </w:r>
    </w:p>
    <w:p w14:paraId="539599F8">
      <w:pPr>
        <w:spacing w:before="156"/>
        <w:ind w:firstLine="480"/>
      </w:pPr>
      <w:r>
        <w:t>1</w:t>
      </w:r>
      <w:r>
        <w:rPr>
          <w:rFonts w:hint="eastAsia"/>
        </w:rPr>
        <w:t>0</w:t>
      </w:r>
      <w:r>
        <w:t xml:space="preserve">.2.3 </w:t>
      </w:r>
      <w:r>
        <w:rPr>
          <w:rFonts w:hint="eastAsia"/>
        </w:rPr>
        <w:t>锻锤基础中的预埋件、支承结构等钢结构材料，宜采用Q235B或Q355B等低合金高强度结构钢，以保证良好的焊接性和抗冲击性。</w:t>
      </w:r>
    </w:p>
    <w:p w14:paraId="4840CCEC">
      <w:pPr>
        <w:spacing w:before="156"/>
        <w:ind w:firstLine="480"/>
      </w:pPr>
      <w:r>
        <w:t>1</w:t>
      </w:r>
      <w:r>
        <w:rPr>
          <w:rFonts w:hint="eastAsia"/>
        </w:rPr>
        <w:t>0</w:t>
      </w:r>
      <w:r>
        <w:t>.2.</w:t>
      </w:r>
      <w:r>
        <w:rPr>
          <w:rFonts w:hint="eastAsia"/>
        </w:rPr>
        <w:t>4</w:t>
      </w:r>
      <w:r>
        <w:t xml:space="preserve"> </w:t>
      </w:r>
      <w:r>
        <w:rPr>
          <w:rFonts w:hint="eastAsia"/>
        </w:rPr>
        <w:t>设备底座与基础连接处的二次灌浆层应采用C40及以上微膨胀细石混凝土或专用高强灌浆料。</w:t>
      </w:r>
    </w:p>
    <w:p w14:paraId="1C41973E">
      <w:pPr>
        <w:spacing w:before="156"/>
        <w:ind w:firstLine="482"/>
        <w:rPr>
          <w:b/>
        </w:rPr>
      </w:pPr>
      <w:r>
        <w:rPr>
          <w:b/>
        </w:rPr>
        <w:t xml:space="preserve">10.2.5 </w:t>
      </w:r>
      <w:r>
        <w:t>砧座垫层的材料，应符合下列规定：</w:t>
      </w:r>
    </w:p>
    <w:p w14:paraId="1B53D6E7">
      <w:pPr>
        <w:spacing w:before="156"/>
        <w:ind w:firstLine="482"/>
        <w:rPr>
          <w:kern w:val="0"/>
        </w:rPr>
      </w:pPr>
      <w:r>
        <w:rPr>
          <w:b/>
          <w:kern w:val="0"/>
        </w:rPr>
        <w:t xml:space="preserve">1 </w:t>
      </w:r>
      <w:r>
        <w:rPr>
          <w:kern w:val="0"/>
        </w:rPr>
        <w:t>由方木或胶合方木组成的木垫，宜选用材质均匀、耐腐性较强的一等材，并</w:t>
      </w:r>
      <w:r>
        <w:rPr>
          <w:rFonts w:hint="eastAsia"/>
          <w:kern w:val="0"/>
        </w:rPr>
        <w:t>应</w:t>
      </w:r>
      <w:r>
        <w:rPr>
          <w:kern w:val="0"/>
        </w:rPr>
        <w:t>经干燥及防腐处理，其树种以及力学性能参数应按现行国家标准《木结构设计标准》GB50005的规定采用。</w:t>
      </w:r>
    </w:p>
    <w:p w14:paraId="7A682A4A">
      <w:pPr>
        <w:spacing w:before="156"/>
        <w:ind w:firstLine="482"/>
        <w:rPr>
          <w:kern w:val="0"/>
        </w:rPr>
      </w:pPr>
      <w:r>
        <w:rPr>
          <w:b/>
          <w:kern w:val="0"/>
        </w:rPr>
        <w:t xml:space="preserve">2 </w:t>
      </w:r>
      <w:r>
        <w:rPr>
          <w:kern w:val="0"/>
        </w:rPr>
        <w:t>木垫的材质，应符合下列规定：</w:t>
      </w:r>
    </w:p>
    <w:p w14:paraId="092B58F0">
      <w:pPr>
        <w:spacing w:before="156"/>
        <w:ind w:firstLine="480"/>
        <w:rPr>
          <w:kern w:val="0"/>
        </w:rPr>
      </w:pPr>
      <w:r>
        <w:rPr>
          <w:kern w:val="0"/>
        </w:rPr>
        <w:t>1）横放木垫可采用TB20、TB17，对于不大于1t的锻锤，亦可</w:t>
      </w:r>
      <w:r>
        <w:rPr>
          <w:rFonts w:hint="eastAsia"/>
          <w:kern w:val="0"/>
        </w:rPr>
        <w:t>采</w:t>
      </w:r>
      <w:r>
        <w:rPr>
          <w:kern w:val="0"/>
        </w:rPr>
        <w:t>用TB15、TC17、TC15。</w:t>
      </w:r>
    </w:p>
    <w:p w14:paraId="5EFFB2FF">
      <w:pPr>
        <w:spacing w:before="156"/>
        <w:ind w:firstLine="480"/>
        <w:rPr>
          <w:kern w:val="0"/>
        </w:rPr>
      </w:pPr>
      <w:r>
        <w:rPr>
          <w:kern w:val="0"/>
        </w:rPr>
        <w:t>2）竖放木垫可采用TB15、TC17、TC15。</w:t>
      </w:r>
    </w:p>
    <w:p w14:paraId="1282C93D">
      <w:pPr>
        <w:spacing w:before="156"/>
        <w:ind w:firstLine="480"/>
        <w:rPr>
          <w:kern w:val="0"/>
        </w:rPr>
      </w:pPr>
      <w:r>
        <w:rPr>
          <w:kern w:val="0"/>
        </w:rPr>
        <w:t>3）竖放木垫下的横放木垫可采用TB20、TB17。</w:t>
      </w:r>
    </w:p>
    <w:p w14:paraId="3E6EF284">
      <w:pPr>
        <w:spacing w:before="156"/>
        <w:ind w:firstLine="480"/>
        <w:rPr>
          <w:kern w:val="0"/>
        </w:rPr>
      </w:pPr>
      <w:r>
        <w:rPr>
          <w:kern w:val="0"/>
        </w:rPr>
        <w:t>4）对于木材表层绝对含水率</w:t>
      </w:r>
      <w:r>
        <w:rPr>
          <w:rFonts w:hint="eastAsia"/>
          <w:kern w:val="0"/>
        </w:rPr>
        <w:t>，</w:t>
      </w:r>
      <w:r>
        <w:rPr>
          <w:kern w:val="0"/>
        </w:rPr>
        <w:t>当采用方木时不宜大于25%</w:t>
      </w:r>
      <w:r>
        <w:rPr>
          <w:rFonts w:hint="eastAsia"/>
          <w:kern w:val="0"/>
        </w:rPr>
        <w:t>，</w:t>
      </w:r>
    </w:p>
    <w:p w14:paraId="415A8520">
      <w:pPr>
        <w:spacing w:before="156"/>
        <w:ind w:firstLine="480"/>
        <w:rPr>
          <w:kern w:val="0"/>
        </w:rPr>
      </w:pPr>
      <w:r>
        <w:rPr>
          <w:kern w:val="0"/>
        </w:rPr>
        <w:t>当采用胶合方木时不宜大于15%。</w:t>
      </w:r>
    </w:p>
    <w:p w14:paraId="48B1E7ED">
      <w:pPr>
        <w:spacing w:before="156"/>
        <w:ind w:firstLine="482"/>
        <w:rPr>
          <w:kern w:val="0"/>
        </w:rPr>
      </w:pPr>
      <w:r>
        <w:rPr>
          <w:b/>
          <w:kern w:val="0"/>
        </w:rPr>
        <w:t xml:space="preserve">3 </w:t>
      </w:r>
      <w:r>
        <w:rPr>
          <w:kern w:val="0"/>
        </w:rPr>
        <w:t>对于不大于5t 的锻锤可采用橡胶垫，橡胶垫可由普通型运输胶带或普通橡胶板组成，含胶量不宜低于40%，肖氏硬度宜为65Hs；胶种和材质的选择，应符合下列规定：</w:t>
      </w:r>
    </w:p>
    <w:p w14:paraId="6C1B5DFD">
      <w:pPr>
        <w:spacing w:before="156"/>
        <w:ind w:firstLine="480"/>
        <w:rPr>
          <w:kern w:val="0"/>
        </w:rPr>
      </w:pPr>
      <w:r>
        <w:rPr>
          <w:kern w:val="0"/>
        </w:rPr>
        <w:t>1）胶种宜采用氯丁胶、天然胶或顺丁胶。</w:t>
      </w:r>
    </w:p>
    <w:p w14:paraId="70F1AC84">
      <w:pPr>
        <w:spacing w:before="156"/>
        <w:ind w:firstLine="480"/>
        <w:rPr>
          <w:kern w:val="0"/>
        </w:rPr>
      </w:pPr>
      <w:r>
        <w:rPr>
          <w:kern w:val="0"/>
        </w:rPr>
        <w:t>2）</w:t>
      </w:r>
      <w:r>
        <w:rPr>
          <w:rFonts w:hint="eastAsia"/>
          <w:kern w:val="0"/>
        </w:rPr>
        <w:t xml:space="preserve"> </w:t>
      </w:r>
      <w:r>
        <w:rPr>
          <w:kern w:val="0"/>
        </w:rPr>
        <w:t>当锻锤使用时间每天超过16h时，宜选用耐热橡胶带（板）。</w:t>
      </w:r>
    </w:p>
    <w:p w14:paraId="02743CAB">
      <w:pPr>
        <w:spacing w:before="156"/>
        <w:ind w:firstLine="480"/>
        <w:rPr>
          <w:kern w:val="0"/>
        </w:rPr>
      </w:pPr>
      <w:r>
        <w:rPr>
          <w:kern w:val="0"/>
        </w:rPr>
        <w:t>3）运输胶带的力学性能应符合现行行业标准《耐热输送带》</w:t>
      </w:r>
    </w:p>
    <w:p w14:paraId="40481136">
      <w:pPr>
        <w:spacing w:before="156"/>
        <w:ind w:firstLine="480"/>
        <w:rPr>
          <w:kern w:val="0"/>
        </w:rPr>
      </w:pPr>
      <w:r>
        <w:rPr>
          <w:kern w:val="0"/>
        </w:rPr>
        <w:t>HG2297的</w:t>
      </w:r>
      <w:r>
        <w:rPr>
          <w:rFonts w:hint="eastAsia"/>
          <w:kern w:val="0"/>
        </w:rPr>
        <w:t>有关</w:t>
      </w:r>
      <w:r>
        <w:rPr>
          <w:kern w:val="0"/>
        </w:rPr>
        <w:t>规定，普通橡胶板的力学性能宜符合现行国家标准《工业用橡胶板》GB/T5574的</w:t>
      </w:r>
      <w:r>
        <w:rPr>
          <w:rFonts w:hint="eastAsia"/>
          <w:kern w:val="0"/>
        </w:rPr>
        <w:t>有关</w:t>
      </w:r>
      <w:r>
        <w:rPr>
          <w:kern w:val="0"/>
        </w:rPr>
        <w:t>规定。</w:t>
      </w:r>
    </w:p>
    <w:p w14:paraId="2670E1FB">
      <w:pPr>
        <w:pStyle w:val="4"/>
        <w:spacing w:before="156"/>
      </w:pPr>
      <w:r>
        <w:rPr>
          <w:rFonts w:hint="eastAsia"/>
        </w:rPr>
        <w:t xml:space="preserve">10.3 构造尺寸 </w:t>
      </w:r>
    </w:p>
    <w:p w14:paraId="56D1F7EB">
      <w:pPr>
        <w:spacing w:before="156"/>
        <w:ind w:firstLine="480"/>
      </w:pPr>
      <w:r>
        <w:rPr>
          <w:rFonts w:hint="eastAsia"/>
        </w:rPr>
        <w:t>10.3.1锻锤基础与厂房基础的净距不宜小于500mm；当同一厂房内有多台10t及以上的锻锤时，各锻锤基础中心线的距离不宜小于30m或采用隔振基础。</w:t>
      </w:r>
    </w:p>
    <w:p w14:paraId="0DD52C92">
      <w:pPr>
        <w:spacing w:before="156"/>
        <w:ind w:firstLine="480"/>
        <w:rPr>
          <w:kern w:val="0"/>
        </w:rPr>
      </w:pPr>
      <w:r>
        <w:rPr>
          <w:rFonts w:hint="eastAsia"/>
        </w:rPr>
        <w:t>10.</w:t>
      </w:r>
      <w:r>
        <w:t>3</w:t>
      </w:r>
      <w:r>
        <w:rPr>
          <w:rFonts w:hint="eastAsia"/>
        </w:rPr>
        <w:t>.</w:t>
      </w:r>
      <w:r>
        <w:t>2 单臂锻锤基础的锤击中心、基础底面形心和基组重心宜位于同一铅垂线上；当不在同一铅垂线上时，锤击中心与基础底面形心</w:t>
      </w:r>
      <w:r>
        <w:rPr>
          <w:rFonts w:hint="eastAsia"/>
        </w:rPr>
        <w:t>应</w:t>
      </w:r>
      <w:r>
        <w:t>对准，且锤击中心与基组重心的偏心距不应大于基础偏心方向边长的5%；锻锤基础边缘的竖向振动位移，可按下式计算：</w:t>
      </w:r>
    </w:p>
    <w:p w14:paraId="461B9742">
      <w:pPr>
        <w:spacing w:before="156"/>
        <w:ind w:firstLine="480"/>
        <w:jc w:val="right"/>
        <w:rPr>
          <w:kern w:val="0"/>
        </w:rPr>
      </w:pPr>
      <m:oMath>
        <m:sSub>
          <m:sSubPr>
            <m:ctrlPr>
              <w:rPr>
                <w:rFonts w:ascii="Cambria Math" w:hAnsi="Cambria Math"/>
                <w:kern w:val="0"/>
              </w:rPr>
            </m:ctrlPr>
          </m:sSubPr>
          <m:e>
            <m:r>
              <m:rPr/>
              <w:rPr>
                <w:rFonts w:ascii="Cambria Math" w:hAnsi="Cambria Math"/>
                <w:kern w:val="0"/>
              </w:rPr>
              <m:t>u</m:t>
            </m:r>
            <m:ctrlPr>
              <w:rPr>
                <w:rFonts w:ascii="Cambria Math" w:hAnsi="Cambria Math"/>
                <w:kern w:val="0"/>
              </w:rPr>
            </m:ctrlPr>
          </m:e>
          <m:sub>
            <m:r>
              <m:rPr>
                <m:sty m:val="p"/>
              </m:rPr>
              <w:rPr>
                <w:rFonts w:ascii="Cambria Math" w:hAnsi="Cambria Math"/>
                <w:kern w:val="0"/>
              </w:rPr>
              <m:t>ez</m:t>
            </m:r>
            <m:ctrlPr>
              <w:rPr>
                <w:rFonts w:ascii="Cambria Math" w:hAnsi="Cambria Math"/>
                <w:kern w:val="0"/>
              </w:rPr>
            </m:ctrlPr>
          </m:sub>
        </m:sSub>
        <m:r>
          <m:rPr/>
          <w:rPr>
            <w:rFonts w:ascii="Cambria Math" w:hAnsi="Cambria Math"/>
            <w:kern w:val="0"/>
          </w:rPr>
          <m:t>=</m:t>
        </m:r>
        <m:sSub>
          <m:sSubPr>
            <m:ctrlPr>
              <w:rPr>
                <w:rFonts w:ascii="Cambria Math" w:hAnsi="Cambria Math"/>
                <w:i/>
                <w:kern w:val="0"/>
              </w:rPr>
            </m:ctrlPr>
          </m:sSubPr>
          <m:e>
            <m:r>
              <m:rPr/>
              <w:rPr>
                <w:rFonts w:ascii="Cambria Math" w:hAnsi="Cambria Math"/>
                <w:kern w:val="0"/>
              </w:rPr>
              <m:t>u</m:t>
            </m:r>
            <m:ctrlPr>
              <w:rPr>
                <w:rFonts w:ascii="Cambria Math" w:hAnsi="Cambria Math"/>
                <w:i/>
                <w:kern w:val="0"/>
              </w:rPr>
            </m:ctrlPr>
          </m:e>
          <m:sub>
            <m:r>
              <m:rPr>
                <m:sty m:val="p"/>
              </m:rPr>
              <w:rPr>
                <w:rFonts w:ascii="Cambria Math" w:hAnsi="Cambria Math"/>
                <w:kern w:val="0"/>
              </w:rPr>
              <m:t>z</m:t>
            </m:r>
            <m:ctrlPr>
              <w:rPr>
                <w:rFonts w:ascii="Cambria Math" w:hAnsi="Cambria Math"/>
                <w:i/>
                <w:kern w:val="0"/>
              </w:rPr>
            </m:ctrlPr>
          </m:sub>
        </m:sSub>
        <m:r>
          <m:rPr/>
          <w:rPr>
            <w:rFonts w:ascii="Cambria Math" w:hAnsi="Cambria Math"/>
            <w:kern w:val="0"/>
          </w:rPr>
          <m:t>(1+3.0</m:t>
        </m:r>
        <m:f>
          <m:fPr>
            <m:ctrlPr>
              <w:rPr>
                <w:rFonts w:ascii="Cambria Math" w:hAnsi="Cambria Math"/>
                <w:i/>
                <w:kern w:val="0"/>
              </w:rPr>
            </m:ctrlPr>
          </m:fPr>
          <m:num>
            <m:sSub>
              <m:sSubPr>
                <m:ctrlPr>
                  <w:rPr>
                    <w:rFonts w:ascii="Cambria Math" w:hAnsi="Cambria Math"/>
                    <w:i/>
                    <w:kern w:val="0"/>
                  </w:rPr>
                </m:ctrlPr>
              </m:sSubPr>
              <m:e>
                <m:r>
                  <m:rPr/>
                  <w:rPr>
                    <w:rFonts w:ascii="Cambria Math" w:hAnsi="Cambria Math"/>
                    <w:kern w:val="0"/>
                  </w:rPr>
                  <m:t>e</m:t>
                </m:r>
                <m:ctrlPr>
                  <w:rPr>
                    <w:rFonts w:ascii="Cambria Math" w:hAnsi="Cambria Math"/>
                    <w:i/>
                    <w:kern w:val="0"/>
                  </w:rPr>
                </m:ctrlPr>
              </m:e>
              <m:sub>
                <m:r>
                  <m:rPr>
                    <m:sty m:val="p"/>
                  </m:rPr>
                  <w:rPr>
                    <w:rFonts w:ascii="Cambria Math" w:hAnsi="Cambria Math"/>
                    <w:kern w:val="0"/>
                  </w:rPr>
                  <m:t>h</m:t>
                </m:r>
                <m:ctrlPr>
                  <w:rPr>
                    <w:rFonts w:ascii="Cambria Math" w:hAnsi="Cambria Math"/>
                    <w:i/>
                    <w:kern w:val="0"/>
                  </w:rPr>
                </m:ctrlPr>
              </m:sub>
            </m:sSub>
            <m:ctrlPr>
              <w:rPr>
                <w:rFonts w:ascii="Cambria Math" w:hAnsi="Cambria Math"/>
                <w:i/>
                <w:kern w:val="0"/>
              </w:rPr>
            </m:ctrlPr>
          </m:num>
          <m:den>
            <m:sSub>
              <m:sSubPr>
                <m:ctrlPr>
                  <w:rPr>
                    <w:rFonts w:ascii="Cambria Math" w:hAnsi="Cambria Math"/>
                    <w:i/>
                    <w:kern w:val="0"/>
                  </w:rPr>
                </m:ctrlPr>
              </m:sSubPr>
              <m:e>
                <m:r>
                  <m:rPr/>
                  <w:rPr>
                    <w:rFonts w:ascii="Cambria Math" w:hAnsi="Cambria Math"/>
                    <w:kern w:val="0"/>
                  </w:rPr>
                  <m:t>b</m:t>
                </m:r>
                <m:ctrlPr>
                  <w:rPr>
                    <w:rFonts w:ascii="Cambria Math" w:hAnsi="Cambria Math"/>
                    <w:i/>
                    <w:kern w:val="0"/>
                  </w:rPr>
                </m:ctrlPr>
              </m:e>
              <m:sub>
                <m:r>
                  <m:rPr>
                    <m:sty m:val="p"/>
                  </m:rPr>
                  <w:rPr>
                    <w:rFonts w:ascii="Cambria Math" w:hAnsi="Cambria Math"/>
                    <w:kern w:val="0"/>
                  </w:rPr>
                  <m:t>h</m:t>
                </m:r>
                <m:ctrlPr>
                  <w:rPr>
                    <w:rFonts w:ascii="Cambria Math" w:hAnsi="Cambria Math"/>
                    <w:i/>
                    <w:kern w:val="0"/>
                  </w:rPr>
                </m:ctrlPr>
              </m:sub>
            </m:sSub>
            <m:ctrlPr>
              <w:rPr>
                <w:rFonts w:ascii="Cambria Math" w:hAnsi="Cambria Math"/>
                <w:i/>
                <w:kern w:val="0"/>
              </w:rPr>
            </m:ctrlPr>
          </m:den>
        </m:f>
        <m:r>
          <m:rPr/>
          <w:rPr>
            <w:rFonts w:ascii="Cambria Math" w:hAnsi="Cambria Math"/>
            <w:kern w:val="0"/>
          </w:rPr>
          <m:t>)</m:t>
        </m:r>
      </m:oMath>
      <w:r>
        <w:rPr>
          <w:kern w:val="0"/>
        </w:rPr>
        <w:t xml:space="preserve">                    (</w:t>
      </w:r>
      <w:r>
        <w:rPr>
          <w:rFonts w:hint="eastAsia"/>
          <w:kern w:val="0"/>
        </w:rPr>
        <w:t>10.</w:t>
      </w:r>
      <w:r>
        <w:rPr>
          <w:kern w:val="0"/>
        </w:rPr>
        <w:t>3.2)</w:t>
      </w:r>
    </w:p>
    <w:p w14:paraId="2B869DFD">
      <w:pPr>
        <w:spacing w:before="156"/>
        <w:ind w:firstLine="480"/>
        <w:rPr>
          <w:kern w:val="0"/>
        </w:rPr>
      </w:pPr>
      <w:r>
        <w:rPr>
          <w:kern w:val="0"/>
        </w:rPr>
        <w:t>式中：</w:t>
      </w:r>
      <w:r>
        <w:rPr>
          <w:i/>
          <w:kern w:val="0"/>
        </w:rPr>
        <w:t>u</w:t>
      </w:r>
      <w:r>
        <w:rPr>
          <w:kern w:val="0"/>
          <w:vertAlign w:val="subscript"/>
        </w:rPr>
        <w:t>ez</w:t>
      </w:r>
      <w:r>
        <w:t>——</w:t>
      </w:r>
      <w:r>
        <w:rPr>
          <w:kern w:val="0"/>
        </w:rPr>
        <w:t>锤击中心、基础底面形心与基组重心不在同一铅垂线上时，锻锤基础边缘的竖向振动位移(m)；</w:t>
      </w:r>
    </w:p>
    <w:p w14:paraId="6667B2AC">
      <w:pPr>
        <w:spacing w:before="156"/>
        <w:ind w:firstLine="480"/>
        <w:rPr>
          <w:kern w:val="0"/>
        </w:rPr>
      </w:pPr>
      <w:r>
        <w:rPr>
          <w:i/>
          <w:kern w:val="0"/>
        </w:rPr>
        <w:t>e</w:t>
      </w:r>
      <w:r>
        <w:rPr>
          <w:kern w:val="0"/>
          <w:vertAlign w:val="subscript"/>
        </w:rPr>
        <w:t>h</w:t>
      </w:r>
      <w:r>
        <w:t>——</w:t>
      </w:r>
      <w:r>
        <w:rPr>
          <w:kern w:val="0"/>
        </w:rPr>
        <w:t>锤击中心对基组重心的偏心距(m)；</w:t>
      </w:r>
    </w:p>
    <w:p w14:paraId="333E606E">
      <w:pPr>
        <w:spacing w:before="156"/>
        <w:ind w:firstLine="480"/>
        <w:rPr>
          <w:kern w:val="0"/>
        </w:rPr>
      </w:pPr>
      <w:r>
        <w:rPr>
          <w:i/>
          <w:kern w:val="0"/>
        </w:rPr>
        <w:t>b</w:t>
      </w:r>
      <w:r>
        <w:rPr>
          <w:kern w:val="0"/>
          <w:vertAlign w:val="subscript"/>
        </w:rPr>
        <w:t>h</w:t>
      </w:r>
      <w:r>
        <w:t>——</w:t>
      </w:r>
      <w:r>
        <w:rPr>
          <w:kern w:val="0"/>
        </w:rPr>
        <w:t>锻锤基础偏心方向的边长(m)。</w:t>
      </w:r>
    </w:p>
    <w:p w14:paraId="7B061DAB">
      <w:pPr>
        <w:spacing w:before="156"/>
        <w:ind w:firstLine="482"/>
        <w:rPr>
          <w:b/>
        </w:rPr>
      </w:pPr>
      <w:r>
        <w:rPr>
          <w:rFonts w:hint="eastAsia"/>
          <w:b/>
        </w:rPr>
        <w:t>10.</w:t>
      </w:r>
      <w:r>
        <w:rPr>
          <w:b/>
        </w:rPr>
        <w:t xml:space="preserve">3.3  </w:t>
      </w:r>
      <w:r>
        <w:t>砧座下垫层的总厚度不应小于表</w:t>
      </w:r>
      <w:r>
        <w:rPr>
          <w:rFonts w:hint="eastAsia"/>
        </w:rPr>
        <w:t>10.</w:t>
      </w:r>
      <w:r>
        <w:t>3.3的规定值，总厚度可按下式计算：</w:t>
      </w:r>
    </w:p>
    <w:p w14:paraId="34AD34CA">
      <w:pPr>
        <w:spacing w:before="156"/>
        <w:ind w:firstLine="480"/>
        <w:jc w:val="right"/>
        <w:rPr>
          <w:rFonts w:eastAsia="微软雅黑"/>
          <w:kern w:val="0"/>
        </w:rPr>
      </w:pPr>
      <m:oMath>
        <m:sSub>
          <m:sSubPr>
            <m:ctrlPr>
              <w:rPr>
                <w:rFonts w:ascii="Cambria Math" w:hAnsi="Cambria Math"/>
                <w:kern w:val="0"/>
              </w:rPr>
            </m:ctrlPr>
          </m:sSubPr>
          <m:e>
            <m:r>
              <m:rPr/>
              <w:rPr>
                <w:rFonts w:ascii="Cambria Math" w:hAnsi="Cambria Math"/>
                <w:kern w:val="0"/>
              </w:rPr>
              <m:t>d</m:t>
            </m:r>
            <m:ctrlPr>
              <w:rPr>
                <w:rFonts w:ascii="Cambria Math" w:hAnsi="Cambria Math"/>
                <w:kern w:val="0"/>
              </w:rPr>
            </m:ctrlPr>
          </m:e>
          <m:sub>
            <m:r>
              <m:rPr>
                <m:sty m:val="p"/>
              </m:rPr>
              <w:rPr>
                <w:rFonts w:ascii="Cambria Math" w:hAnsi="Cambria Math"/>
                <w:kern w:val="0"/>
              </w:rPr>
              <m:t>o</m:t>
            </m:r>
            <m:ctrlPr>
              <w:rPr>
                <w:rFonts w:ascii="Cambria Math" w:hAnsi="Cambria Math"/>
                <w:kern w:val="0"/>
              </w:rPr>
            </m:ctrlPr>
          </m:sub>
        </m:sSub>
        <m:r>
          <m:rPr/>
          <w:rPr>
            <w:rFonts w:ascii="Cambria Math" w:hAnsi="Cambria Math"/>
            <w:kern w:val="0"/>
          </w:rPr>
          <m:t>=</m:t>
        </m:r>
        <m:f>
          <m:fPr>
            <m:ctrlPr>
              <w:rPr>
                <w:rFonts w:ascii="Cambria Math" w:hAnsi="Cambria Math"/>
                <w:i/>
                <w:kern w:val="0"/>
              </w:rPr>
            </m:ctrlPr>
          </m:fPr>
          <m:num>
            <m:sSubSup>
              <m:sSubSupPr>
                <m:ctrlPr>
                  <w:rPr>
                    <w:rFonts w:ascii="Cambria Math" w:hAnsi="Cambria Math"/>
                    <w:i/>
                    <w:kern w:val="0"/>
                  </w:rPr>
                </m:ctrlPr>
              </m:sSubSupPr>
              <m:e>
                <m:r>
                  <m:rPr/>
                  <w:rPr>
                    <w:rFonts w:ascii="Cambria Math" w:hAnsi="Cambria Math"/>
                    <w:kern w:val="0"/>
                  </w:rPr>
                  <m:t>ψ</m:t>
                </m:r>
                <m:ctrlPr>
                  <w:rPr>
                    <w:rFonts w:ascii="Cambria Math" w:hAnsi="Cambria Math"/>
                    <w:i/>
                    <w:kern w:val="0"/>
                  </w:rPr>
                </m:ctrlPr>
              </m:e>
              <m:sub>
                <m:r>
                  <m:rPr>
                    <m:sty m:val="p"/>
                  </m:rPr>
                  <w:rPr>
                    <w:rFonts w:ascii="Cambria Math" w:hAnsi="Cambria Math"/>
                    <w:kern w:val="0"/>
                  </w:rPr>
                  <m:t>e</m:t>
                </m:r>
                <m:ctrlPr>
                  <w:rPr>
                    <w:rFonts w:ascii="Cambria Math" w:hAnsi="Cambria Math"/>
                    <w:i/>
                    <w:kern w:val="0"/>
                  </w:rPr>
                </m:ctrlPr>
              </m:sub>
              <m:sup>
                <m:r>
                  <m:rPr/>
                  <w:rPr>
                    <w:rFonts w:ascii="Cambria Math" w:hAnsi="Cambria Math"/>
                    <w:kern w:val="0"/>
                  </w:rPr>
                  <m:t>2</m:t>
                </m:r>
                <m:ctrlPr>
                  <w:rPr>
                    <w:rFonts w:ascii="Cambria Math" w:hAnsi="Cambria Math"/>
                    <w:i/>
                    <w:kern w:val="0"/>
                  </w:rPr>
                </m:ctrlPr>
              </m:sup>
            </m:sSubSup>
            <m:sSub>
              <m:sSubPr>
                <m:ctrlPr>
                  <w:rPr>
                    <w:rFonts w:ascii="Cambria Math" w:hAnsi="Cambria Math"/>
                    <w:i/>
                    <w:kern w:val="0"/>
                  </w:rPr>
                </m:ctrlPr>
              </m:sSubPr>
              <m:e>
                <m:r>
                  <m:rPr/>
                  <w:rPr>
                    <w:rFonts w:ascii="Cambria Math" w:hAnsi="Cambria Math"/>
                    <w:kern w:val="0"/>
                  </w:rPr>
                  <m:t>G</m:t>
                </m:r>
                <m:ctrlPr>
                  <w:rPr>
                    <w:rFonts w:ascii="Cambria Math" w:hAnsi="Cambria Math"/>
                    <w:i/>
                    <w:kern w:val="0"/>
                  </w:rPr>
                </m:ctrlPr>
              </m:e>
              <m:sub>
                <m:r>
                  <m:rPr>
                    <m:sty m:val="p"/>
                  </m:rPr>
                  <w:rPr>
                    <w:rFonts w:ascii="Cambria Math" w:hAnsi="Cambria Math"/>
                    <w:kern w:val="0"/>
                  </w:rPr>
                  <m:t>o</m:t>
                </m:r>
                <m:ctrlPr>
                  <w:rPr>
                    <w:rFonts w:ascii="Cambria Math" w:hAnsi="Cambria Math"/>
                    <w:i/>
                    <w:kern w:val="0"/>
                  </w:rPr>
                </m:ctrlPr>
              </m:sub>
            </m:sSub>
            <m:sSubSup>
              <m:sSubSupPr>
                <m:ctrlPr>
                  <w:rPr>
                    <w:rFonts w:ascii="Cambria Math" w:hAnsi="Cambria Math"/>
                    <w:i/>
                    <w:kern w:val="0"/>
                  </w:rPr>
                </m:ctrlPr>
              </m:sSubSupPr>
              <m:e>
                <m:r>
                  <m:rPr/>
                  <w:rPr>
                    <w:rFonts w:ascii="Cambria Math" w:hAnsi="Cambria Math"/>
                    <w:kern w:val="0"/>
                  </w:rPr>
                  <m:t>v</m:t>
                </m:r>
                <m:ctrlPr>
                  <w:rPr>
                    <w:rFonts w:ascii="Cambria Math" w:hAnsi="Cambria Math"/>
                    <w:i/>
                    <w:kern w:val="0"/>
                  </w:rPr>
                </m:ctrlPr>
              </m:e>
              <m:sub>
                <m:r>
                  <m:rPr>
                    <m:sty m:val="p"/>
                  </m:rPr>
                  <w:rPr>
                    <w:rFonts w:ascii="Cambria Math" w:hAnsi="Cambria Math"/>
                    <w:kern w:val="0"/>
                  </w:rPr>
                  <m:t>o</m:t>
                </m:r>
                <m:ctrlPr>
                  <w:rPr>
                    <w:rFonts w:ascii="Cambria Math" w:hAnsi="Cambria Math"/>
                    <w:i/>
                    <w:kern w:val="0"/>
                  </w:rPr>
                </m:ctrlPr>
              </m:sub>
              <m:sup>
                <m:r>
                  <m:rPr/>
                  <w:rPr>
                    <w:rFonts w:ascii="Cambria Math" w:hAnsi="Cambria Math"/>
                    <w:kern w:val="0"/>
                  </w:rPr>
                  <m:t>2</m:t>
                </m:r>
                <m:ctrlPr>
                  <w:rPr>
                    <w:rFonts w:ascii="Cambria Math" w:hAnsi="Cambria Math"/>
                    <w:i/>
                    <w:kern w:val="0"/>
                  </w:rPr>
                </m:ctrlPr>
              </m:sup>
            </m:sSubSup>
            <m:r>
              <m:rPr/>
              <w:rPr>
                <w:rFonts w:ascii="Cambria Math" w:hAnsi="Cambria Math"/>
                <w:kern w:val="0"/>
              </w:rPr>
              <m:t>E</m:t>
            </m:r>
            <m:ctrlPr>
              <w:rPr>
                <w:rFonts w:ascii="Cambria Math" w:hAnsi="Cambria Math"/>
                <w:i/>
                <w:kern w:val="0"/>
              </w:rPr>
            </m:ctrlPr>
          </m:num>
          <m:den>
            <m:sSubSup>
              <m:sSubSupPr>
                <m:ctrlPr>
                  <w:rPr>
                    <w:rFonts w:ascii="Cambria Math" w:hAnsi="Cambria Math"/>
                    <w:i/>
                    <w:kern w:val="0"/>
                  </w:rPr>
                </m:ctrlPr>
              </m:sSubSupPr>
              <m:e>
                <m:r>
                  <m:rPr/>
                  <w:rPr>
                    <w:rFonts w:ascii="Cambria Math" w:hAnsi="Cambria Math"/>
                    <w:kern w:val="0"/>
                  </w:rPr>
                  <m:t>f</m:t>
                </m:r>
                <m:ctrlPr>
                  <w:rPr>
                    <w:rFonts w:ascii="Cambria Math" w:hAnsi="Cambria Math"/>
                    <w:i/>
                    <w:kern w:val="0"/>
                  </w:rPr>
                </m:ctrlPr>
              </m:e>
              <m:sub>
                <m:r>
                  <m:rPr>
                    <m:sty m:val="p"/>
                  </m:rPr>
                  <w:rPr>
                    <w:rFonts w:ascii="Cambria Math" w:hAnsi="Cambria Math"/>
                    <w:kern w:val="0"/>
                  </w:rPr>
                  <m:t>c</m:t>
                </m:r>
                <m:ctrlPr>
                  <w:rPr>
                    <w:rFonts w:ascii="Cambria Math" w:hAnsi="Cambria Math"/>
                    <w:i/>
                    <w:kern w:val="0"/>
                  </w:rPr>
                </m:ctrlPr>
              </m:sub>
              <m:sup>
                <m:r>
                  <m:rPr/>
                  <w:rPr>
                    <w:rFonts w:ascii="Cambria Math" w:hAnsi="Cambria Math"/>
                    <w:kern w:val="0"/>
                  </w:rPr>
                  <m:t>2</m:t>
                </m:r>
                <m:ctrlPr>
                  <w:rPr>
                    <w:rFonts w:ascii="Cambria Math" w:hAnsi="Cambria Math"/>
                    <w:i/>
                    <w:kern w:val="0"/>
                  </w:rPr>
                </m:ctrlPr>
              </m:sup>
            </m:sSubSup>
            <m:sSub>
              <m:sSubPr>
                <m:ctrlPr>
                  <w:rPr>
                    <w:rFonts w:ascii="Cambria Math" w:hAnsi="Cambria Math"/>
                    <w:i/>
                    <w:kern w:val="0"/>
                  </w:rPr>
                </m:ctrlPr>
              </m:sSubPr>
              <m:e>
                <m:r>
                  <m:rPr/>
                  <w:rPr>
                    <w:rFonts w:ascii="Cambria Math" w:hAnsi="Cambria Math"/>
                    <w:kern w:val="0"/>
                  </w:rPr>
                  <m:t>G</m:t>
                </m:r>
                <m:ctrlPr>
                  <w:rPr>
                    <w:rFonts w:ascii="Cambria Math" w:hAnsi="Cambria Math"/>
                    <w:i/>
                    <w:kern w:val="0"/>
                  </w:rPr>
                </m:ctrlPr>
              </m:e>
              <m:sub>
                <m:r>
                  <m:rPr>
                    <m:sty m:val="p"/>
                  </m:rPr>
                  <w:rPr>
                    <w:rFonts w:ascii="Cambria Math" w:hAnsi="Cambria Math"/>
                    <w:kern w:val="0"/>
                  </w:rPr>
                  <m:t>h</m:t>
                </m:r>
                <m:ctrlPr>
                  <w:rPr>
                    <w:rFonts w:ascii="Cambria Math" w:hAnsi="Cambria Math"/>
                    <w:i/>
                    <w:kern w:val="0"/>
                  </w:rPr>
                </m:ctrlPr>
              </m:sub>
            </m:sSub>
            <m:sSub>
              <m:sSubPr>
                <m:ctrlPr>
                  <w:rPr>
                    <w:rFonts w:ascii="Cambria Math" w:hAnsi="Cambria Math"/>
                    <w:i/>
                    <w:kern w:val="0"/>
                  </w:rPr>
                </m:ctrlPr>
              </m:sSubPr>
              <m:e>
                <m:r>
                  <m:rPr/>
                  <w:rPr>
                    <w:rFonts w:ascii="Cambria Math" w:hAnsi="Cambria Math"/>
                    <w:kern w:val="0"/>
                  </w:rPr>
                  <m:t>A</m:t>
                </m:r>
                <m:ctrlPr>
                  <w:rPr>
                    <w:rFonts w:ascii="Cambria Math" w:hAnsi="Cambria Math"/>
                    <w:i/>
                    <w:kern w:val="0"/>
                  </w:rPr>
                </m:ctrlPr>
              </m:e>
              <m:sub>
                <m:r>
                  <m:rPr/>
                  <w:rPr>
                    <w:rFonts w:ascii="Cambria Math" w:hAnsi="Cambria Math"/>
                    <w:kern w:val="0"/>
                  </w:rPr>
                  <m:t>1</m:t>
                </m:r>
                <m:ctrlPr>
                  <w:rPr>
                    <w:rFonts w:ascii="Cambria Math" w:hAnsi="Cambria Math"/>
                    <w:i/>
                    <w:kern w:val="0"/>
                  </w:rPr>
                </m:ctrlPr>
              </m:sub>
            </m:sSub>
            <m:ctrlPr>
              <w:rPr>
                <w:rFonts w:ascii="Cambria Math" w:hAnsi="Cambria Math"/>
                <w:i/>
                <w:kern w:val="0"/>
              </w:rPr>
            </m:ctrlPr>
          </m:den>
        </m:f>
      </m:oMath>
      <w:r>
        <w:rPr>
          <w:kern w:val="0"/>
        </w:rPr>
        <w:t xml:space="preserve">                      </w:t>
      </w:r>
      <w:r>
        <w:rPr>
          <w:rFonts w:eastAsia="微软雅黑"/>
          <w:kern w:val="0"/>
        </w:rPr>
        <w:t>(</w:t>
      </w:r>
      <w:r>
        <w:rPr>
          <w:rFonts w:hint="eastAsia" w:eastAsia="微软雅黑"/>
          <w:kern w:val="0"/>
        </w:rPr>
        <w:t>10.</w:t>
      </w:r>
      <w:r>
        <w:rPr>
          <w:rFonts w:eastAsia="微软雅黑"/>
          <w:kern w:val="0"/>
        </w:rPr>
        <w:t>3.3)</w:t>
      </w:r>
    </w:p>
    <w:p w14:paraId="73CEF309">
      <w:pPr>
        <w:spacing w:before="156"/>
        <w:ind w:firstLine="480"/>
        <w:rPr>
          <w:kern w:val="0"/>
        </w:rPr>
      </w:pPr>
      <w:r>
        <w:rPr>
          <w:kern w:val="0"/>
        </w:rPr>
        <w:t xml:space="preserve">式中： </w:t>
      </w:r>
      <w:r>
        <w:rPr>
          <w:rFonts w:eastAsia="黑体"/>
          <w:i/>
          <w:kern w:val="0"/>
        </w:rPr>
        <w:t>f</w:t>
      </w:r>
      <w:r>
        <w:rPr>
          <w:rFonts w:eastAsia="黑体"/>
          <w:kern w:val="0"/>
          <w:vertAlign w:val="subscript"/>
        </w:rPr>
        <w:t>c</w:t>
      </w:r>
      <w:r>
        <w:t>——</w:t>
      </w:r>
      <w:r>
        <w:rPr>
          <w:kern w:val="0"/>
        </w:rPr>
        <w:t>垫层承压强度设计值(kN/m</w:t>
      </w:r>
      <w:r>
        <w:rPr>
          <w:kern w:val="0"/>
          <w:vertAlign w:val="superscript"/>
        </w:rPr>
        <w:t>2</w:t>
      </w:r>
      <w:r>
        <w:rPr>
          <w:kern w:val="0"/>
        </w:rPr>
        <w:t>)；</w:t>
      </w:r>
    </w:p>
    <w:p w14:paraId="654E8F50">
      <w:pPr>
        <w:spacing w:before="156"/>
        <w:ind w:left="360" w:firstLine="480"/>
        <w:rPr>
          <w:kern w:val="0"/>
        </w:rPr>
      </w:pPr>
      <w:r>
        <w:rPr>
          <w:i/>
          <w:kern w:val="0"/>
        </w:rPr>
        <w:t>E</w:t>
      </w:r>
      <w:r>
        <w:t>——</w:t>
      </w:r>
      <w:r>
        <w:rPr>
          <w:kern w:val="0"/>
        </w:rPr>
        <w:t>垫层的弹性模量(kN/m</w:t>
      </w:r>
      <w:r>
        <w:rPr>
          <w:kern w:val="0"/>
          <w:vertAlign w:val="superscript"/>
        </w:rPr>
        <w:t>2</w:t>
      </w:r>
      <w:r>
        <w:rPr>
          <w:kern w:val="0"/>
        </w:rPr>
        <w:t>)。</w:t>
      </w:r>
    </w:p>
    <w:p w14:paraId="11DCD166">
      <w:pPr>
        <w:pStyle w:val="39"/>
        <w:rPr>
          <w:lang w:bidi="en-US"/>
        </w:rPr>
      </w:pPr>
      <w:r>
        <w:rPr>
          <w:lang w:bidi="en-US"/>
        </w:rPr>
        <w:t>表</w:t>
      </w:r>
      <w:r>
        <w:rPr>
          <w:rFonts w:hint="eastAsia"/>
          <w:lang w:bidi="en-US"/>
        </w:rPr>
        <w:t>10.</w:t>
      </w:r>
      <w:r>
        <w:rPr>
          <w:lang w:bidi="en-US"/>
        </w:rPr>
        <w:t>3.3  垫层最小总厚度</w:t>
      </w:r>
    </w:p>
    <w:tbl>
      <w:tblPr>
        <w:tblStyle w:val="31"/>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hemeFill="background1"/>
        <w:tblLayout w:type="autofit"/>
        <w:tblCellMar>
          <w:top w:w="0" w:type="dxa"/>
          <w:left w:w="0" w:type="dxa"/>
          <w:bottom w:w="0" w:type="dxa"/>
          <w:right w:w="0" w:type="dxa"/>
        </w:tblCellMar>
      </w:tblPr>
      <w:tblGrid>
        <w:gridCol w:w="2761"/>
        <w:gridCol w:w="2762"/>
        <w:gridCol w:w="2763"/>
      </w:tblGrid>
      <w:tr w14:paraId="7A0536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hemeFill="background1"/>
          <w:tblCellMar>
            <w:top w:w="0" w:type="dxa"/>
            <w:left w:w="0" w:type="dxa"/>
            <w:bottom w:w="0" w:type="dxa"/>
            <w:right w:w="0" w:type="dxa"/>
          </w:tblCellMar>
        </w:tblPrEx>
        <w:trPr>
          <w:jc w:val="center"/>
        </w:trPr>
        <w:tc>
          <w:tcPr>
            <w:tcW w:w="2761" w:type="dxa"/>
            <w:shd w:val="clear" w:color="auto" w:fill="FFFFFF" w:themeFill="background1"/>
            <w:tcMar>
              <w:top w:w="0" w:type="dxa"/>
              <w:left w:w="108" w:type="dxa"/>
              <w:bottom w:w="0" w:type="dxa"/>
              <w:right w:w="108" w:type="dxa"/>
            </w:tcMar>
          </w:tcPr>
          <w:p w14:paraId="5F59E7A8">
            <w:pPr>
              <w:pStyle w:val="39"/>
            </w:pPr>
            <w:r>
              <w:t>落下部分公称质量(t)</w:t>
            </w:r>
          </w:p>
        </w:tc>
        <w:tc>
          <w:tcPr>
            <w:tcW w:w="2762" w:type="dxa"/>
            <w:shd w:val="clear" w:color="auto" w:fill="FFFFFF" w:themeFill="background1"/>
            <w:tcMar>
              <w:top w:w="0" w:type="dxa"/>
              <w:left w:w="108" w:type="dxa"/>
              <w:bottom w:w="0" w:type="dxa"/>
              <w:right w:w="108" w:type="dxa"/>
            </w:tcMar>
          </w:tcPr>
          <w:p w14:paraId="1718FB50">
            <w:pPr>
              <w:pStyle w:val="39"/>
            </w:pPr>
            <w:r>
              <w:t>木垫(mm)</w:t>
            </w:r>
          </w:p>
        </w:tc>
        <w:tc>
          <w:tcPr>
            <w:tcW w:w="2763" w:type="dxa"/>
            <w:shd w:val="clear" w:color="auto" w:fill="FFFFFF" w:themeFill="background1"/>
            <w:tcMar>
              <w:top w:w="0" w:type="dxa"/>
              <w:left w:w="108" w:type="dxa"/>
              <w:bottom w:w="0" w:type="dxa"/>
              <w:right w:w="108" w:type="dxa"/>
            </w:tcMar>
          </w:tcPr>
          <w:p w14:paraId="346DF964">
            <w:pPr>
              <w:pStyle w:val="39"/>
            </w:pPr>
            <w:r>
              <w:t>输送胶带(mm)</w:t>
            </w:r>
          </w:p>
        </w:tc>
      </w:tr>
      <w:tr w14:paraId="7F663E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2761" w:type="dxa"/>
            <w:shd w:val="clear" w:color="auto" w:fill="FFFFFF" w:themeFill="background1"/>
            <w:tcMar>
              <w:top w:w="0" w:type="dxa"/>
              <w:left w:w="108" w:type="dxa"/>
              <w:bottom w:w="0" w:type="dxa"/>
              <w:right w:w="108" w:type="dxa"/>
            </w:tcMar>
          </w:tcPr>
          <w:p w14:paraId="34FCA681">
            <w:pPr>
              <w:pStyle w:val="39"/>
            </w:pPr>
            <w:r>
              <w:t>0.25</w:t>
            </w:r>
          </w:p>
        </w:tc>
        <w:tc>
          <w:tcPr>
            <w:tcW w:w="2762" w:type="dxa"/>
            <w:shd w:val="clear" w:color="auto" w:fill="FFFFFF" w:themeFill="background1"/>
            <w:tcMar>
              <w:top w:w="0" w:type="dxa"/>
              <w:left w:w="108" w:type="dxa"/>
              <w:bottom w:w="0" w:type="dxa"/>
              <w:right w:w="108" w:type="dxa"/>
            </w:tcMar>
          </w:tcPr>
          <w:p w14:paraId="5B8C7F66">
            <w:pPr>
              <w:pStyle w:val="39"/>
            </w:pPr>
            <w:r>
              <w:t>150</w:t>
            </w:r>
          </w:p>
        </w:tc>
        <w:tc>
          <w:tcPr>
            <w:tcW w:w="2763" w:type="dxa"/>
            <w:shd w:val="clear" w:color="auto" w:fill="FFFFFF" w:themeFill="background1"/>
            <w:tcMar>
              <w:top w:w="0" w:type="dxa"/>
              <w:left w:w="108" w:type="dxa"/>
              <w:bottom w:w="0" w:type="dxa"/>
              <w:right w:w="108" w:type="dxa"/>
            </w:tcMar>
          </w:tcPr>
          <w:p w14:paraId="38005268">
            <w:pPr>
              <w:pStyle w:val="39"/>
            </w:pPr>
            <w:r>
              <w:t>20</w:t>
            </w:r>
          </w:p>
        </w:tc>
      </w:tr>
      <w:tr w14:paraId="4A4C7B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2761" w:type="dxa"/>
            <w:shd w:val="clear" w:color="auto" w:fill="FFFFFF" w:themeFill="background1"/>
            <w:tcMar>
              <w:top w:w="0" w:type="dxa"/>
              <w:left w:w="108" w:type="dxa"/>
              <w:bottom w:w="0" w:type="dxa"/>
              <w:right w:w="108" w:type="dxa"/>
            </w:tcMar>
          </w:tcPr>
          <w:p w14:paraId="106F926B">
            <w:pPr>
              <w:pStyle w:val="39"/>
            </w:pPr>
            <w:r>
              <w:t>0.40</w:t>
            </w:r>
          </w:p>
        </w:tc>
        <w:tc>
          <w:tcPr>
            <w:tcW w:w="2762" w:type="dxa"/>
            <w:shd w:val="clear" w:color="auto" w:fill="FFFFFF" w:themeFill="background1"/>
            <w:tcMar>
              <w:top w:w="0" w:type="dxa"/>
              <w:left w:w="108" w:type="dxa"/>
              <w:bottom w:w="0" w:type="dxa"/>
              <w:right w:w="108" w:type="dxa"/>
            </w:tcMar>
          </w:tcPr>
          <w:p w14:paraId="2350D2F0">
            <w:pPr>
              <w:pStyle w:val="39"/>
            </w:pPr>
            <w:r>
              <w:t>200</w:t>
            </w:r>
          </w:p>
        </w:tc>
        <w:tc>
          <w:tcPr>
            <w:tcW w:w="2763" w:type="dxa"/>
            <w:shd w:val="clear" w:color="auto" w:fill="FFFFFF" w:themeFill="background1"/>
            <w:tcMar>
              <w:top w:w="0" w:type="dxa"/>
              <w:left w:w="108" w:type="dxa"/>
              <w:bottom w:w="0" w:type="dxa"/>
              <w:right w:w="108" w:type="dxa"/>
            </w:tcMar>
          </w:tcPr>
          <w:p w14:paraId="6EB90046">
            <w:pPr>
              <w:pStyle w:val="39"/>
            </w:pPr>
            <w:r>
              <w:t>20</w:t>
            </w:r>
          </w:p>
        </w:tc>
      </w:tr>
      <w:tr w14:paraId="010621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2761" w:type="dxa"/>
            <w:shd w:val="clear" w:color="auto" w:fill="FFFFFF" w:themeFill="background1"/>
            <w:tcMar>
              <w:top w:w="0" w:type="dxa"/>
              <w:left w:w="108" w:type="dxa"/>
              <w:bottom w:w="0" w:type="dxa"/>
              <w:right w:w="108" w:type="dxa"/>
            </w:tcMar>
          </w:tcPr>
          <w:p w14:paraId="7326457A">
            <w:pPr>
              <w:pStyle w:val="39"/>
            </w:pPr>
            <w:r>
              <w:t>0.50</w:t>
            </w:r>
          </w:p>
        </w:tc>
        <w:tc>
          <w:tcPr>
            <w:tcW w:w="2762" w:type="dxa"/>
            <w:shd w:val="clear" w:color="auto" w:fill="FFFFFF" w:themeFill="background1"/>
            <w:tcMar>
              <w:top w:w="0" w:type="dxa"/>
              <w:left w:w="108" w:type="dxa"/>
              <w:bottom w:w="0" w:type="dxa"/>
              <w:right w:w="108" w:type="dxa"/>
            </w:tcMar>
          </w:tcPr>
          <w:p w14:paraId="1E444239">
            <w:pPr>
              <w:pStyle w:val="39"/>
            </w:pPr>
            <w:r>
              <w:t>250</w:t>
            </w:r>
          </w:p>
        </w:tc>
        <w:tc>
          <w:tcPr>
            <w:tcW w:w="2763" w:type="dxa"/>
            <w:shd w:val="clear" w:color="auto" w:fill="FFFFFF" w:themeFill="background1"/>
            <w:tcMar>
              <w:top w:w="0" w:type="dxa"/>
              <w:left w:w="108" w:type="dxa"/>
              <w:bottom w:w="0" w:type="dxa"/>
              <w:right w:w="108" w:type="dxa"/>
            </w:tcMar>
          </w:tcPr>
          <w:p w14:paraId="3BAD4393">
            <w:pPr>
              <w:pStyle w:val="39"/>
            </w:pPr>
            <w:r>
              <w:t>20</w:t>
            </w:r>
          </w:p>
        </w:tc>
      </w:tr>
      <w:tr w14:paraId="6F5D02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2761" w:type="dxa"/>
            <w:shd w:val="clear" w:color="auto" w:fill="FFFFFF" w:themeFill="background1"/>
            <w:tcMar>
              <w:top w:w="0" w:type="dxa"/>
              <w:left w:w="108" w:type="dxa"/>
              <w:bottom w:w="0" w:type="dxa"/>
              <w:right w:w="108" w:type="dxa"/>
            </w:tcMar>
          </w:tcPr>
          <w:p w14:paraId="63303C28">
            <w:pPr>
              <w:pStyle w:val="39"/>
            </w:pPr>
            <w:r>
              <w:t>0.75</w:t>
            </w:r>
          </w:p>
        </w:tc>
        <w:tc>
          <w:tcPr>
            <w:tcW w:w="2762" w:type="dxa"/>
            <w:shd w:val="clear" w:color="auto" w:fill="FFFFFF" w:themeFill="background1"/>
            <w:tcMar>
              <w:top w:w="0" w:type="dxa"/>
              <w:left w:w="108" w:type="dxa"/>
              <w:bottom w:w="0" w:type="dxa"/>
              <w:right w:w="108" w:type="dxa"/>
            </w:tcMar>
          </w:tcPr>
          <w:p w14:paraId="4C80AB57">
            <w:pPr>
              <w:pStyle w:val="39"/>
            </w:pPr>
            <w:r>
              <w:t>300</w:t>
            </w:r>
          </w:p>
        </w:tc>
        <w:tc>
          <w:tcPr>
            <w:tcW w:w="2763" w:type="dxa"/>
            <w:shd w:val="clear" w:color="auto" w:fill="FFFFFF" w:themeFill="background1"/>
            <w:tcMar>
              <w:top w:w="0" w:type="dxa"/>
              <w:left w:w="108" w:type="dxa"/>
              <w:bottom w:w="0" w:type="dxa"/>
              <w:right w:w="108" w:type="dxa"/>
            </w:tcMar>
          </w:tcPr>
          <w:p w14:paraId="7F3A019E">
            <w:pPr>
              <w:pStyle w:val="39"/>
            </w:pPr>
            <w:r>
              <w:t>30</w:t>
            </w:r>
          </w:p>
        </w:tc>
      </w:tr>
      <w:tr w14:paraId="3085CA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2761" w:type="dxa"/>
            <w:shd w:val="clear" w:color="auto" w:fill="FFFFFF" w:themeFill="background1"/>
            <w:tcMar>
              <w:top w:w="0" w:type="dxa"/>
              <w:left w:w="108" w:type="dxa"/>
              <w:bottom w:w="0" w:type="dxa"/>
              <w:right w:w="108" w:type="dxa"/>
            </w:tcMar>
          </w:tcPr>
          <w:p w14:paraId="5E3615A8">
            <w:pPr>
              <w:pStyle w:val="39"/>
            </w:pPr>
            <w:r>
              <w:t>1.00</w:t>
            </w:r>
          </w:p>
        </w:tc>
        <w:tc>
          <w:tcPr>
            <w:tcW w:w="2762" w:type="dxa"/>
            <w:shd w:val="clear" w:color="auto" w:fill="FFFFFF" w:themeFill="background1"/>
            <w:tcMar>
              <w:top w:w="0" w:type="dxa"/>
              <w:left w:w="108" w:type="dxa"/>
              <w:bottom w:w="0" w:type="dxa"/>
              <w:right w:w="108" w:type="dxa"/>
            </w:tcMar>
          </w:tcPr>
          <w:p w14:paraId="5BE9C58A">
            <w:pPr>
              <w:pStyle w:val="39"/>
            </w:pPr>
            <w:r>
              <w:t>400</w:t>
            </w:r>
          </w:p>
        </w:tc>
        <w:tc>
          <w:tcPr>
            <w:tcW w:w="2763" w:type="dxa"/>
            <w:shd w:val="clear" w:color="auto" w:fill="FFFFFF" w:themeFill="background1"/>
            <w:tcMar>
              <w:top w:w="0" w:type="dxa"/>
              <w:left w:w="108" w:type="dxa"/>
              <w:bottom w:w="0" w:type="dxa"/>
              <w:right w:w="108" w:type="dxa"/>
            </w:tcMar>
          </w:tcPr>
          <w:p w14:paraId="324C3479">
            <w:pPr>
              <w:pStyle w:val="39"/>
            </w:pPr>
            <w:r>
              <w:t>30</w:t>
            </w:r>
          </w:p>
        </w:tc>
      </w:tr>
      <w:tr w14:paraId="4CFDDA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hemeFill="background1"/>
          <w:tblCellMar>
            <w:top w:w="0" w:type="dxa"/>
            <w:left w:w="0" w:type="dxa"/>
            <w:bottom w:w="0" w:type="dxa"/>
            <w:right w:w="0" w:type="dxa"/>
          </w:tblCellMar>
        </w:tblPrEx>
        <w:trPr>
          <w:jc w:val="center"/>
        </w:trPr>
        <w:tc>
          <w:tcPr>
            <w:tcW w:w="2761" w:type="dxa"/>
            <w:shd w:val="clear" w:color="auto" w:fill="FFFFFF" w:themeFill="background1"/>
            <w:tcMar>
              <w:top w:w="0" w:type="dxa"/>
              <w:left w:w="108" w:type="dxa"/>
              <w:bottom w:w="0" w:type="dxa"/>
              <w:right w:w="108" w:type="dxa"/>
            </w:tcMar>
          </w:tcPr>
          <w:p w14:paraId="17BCCB41">
            <w:pPr>
              <w:pStyle w:val="39"/>
            </w:pPr>
            <w:r>
              <w:t>2.00</w:t>
            </w:r>
          </w:p>
        </w:tc>
        <w:tc>
          <w:tcPr>
            <w:tcW w:w="2762" w:type="dxa"/>
            <w:shd w:val="clear" w:color="auto" w:fill="FFFFFF" w:themeFill="background1"/>
            <w:tcMar>
              <w:top w:w="0" w:type="dxa"/>
              <w:left w:w="108" w:type="dxa"/>
              <w:bottom w:w="0" w:type="dxa"/>
              <w:right w:w="108" w:type="dxa"/>
            </w:tcMar>
          </w:tcPr>
          <w:p w14:paraId="40CE3AE1">
            <w:pPr>
              <w:pStyle w:val="39"/>
            </w:pPr>
            <w:r>
              <w:t>500</w:t>
            </w:r>
          </w:p>
        </w:tc>
        <w:tc>
          <w:tcPr>
            <w:tcW w:w="2763" w:type="dxa"/>
            <w:shd w:val="clear" w:color="auto" w:fill="FFFFFF" w:themeFill="background1"/>
            <w:tcMar>
              <w:top w:w="0" w:type="dxa"/>
              <w:left w:w="108" w:type="dxa"/>
              <w:bottom w:w="0" w:type="dxa"/>
              <w:right w:w="108" w:type="dxa"/>
            </w:tcMar>
          </w:tcPr>
          <w:p w14:paraId="42B5A168">
            <w:pPr>
              <w:pStyle w:val="39"/>
            </w:pPr>
            <w:r>
              <w:t>40</w:t>
            </w:r>
          </w:p>
        </w:tc>
      </w:tr>
      <w:tr w14:paraId="12A780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hemeFill="background1"/>
          <w:tblCellMar>
            <w:top w:w="0" w:type="dxa"/>
            <w:left w:w="0" w:type="dxa"/>
            <w:bottom w:w="0" w:type="dxa"/>
            <w:right w:w="0" w:type="dxa"/>
          </w:tblCellMar>
        </w:tblPrEx>
        <w:trPr>
          <w:jc w:val="center"/>
        </w:trPr>
        <w:tc>
          <w:tcPr>
            <w:tcW w:w="2761" w:type="dxa"/>
            <w:shd w:val="clear" w:color="auto" w:fill="FFFFFF" w:themeFill="background1"/>
            <w:tcMar>
              <w:top w:w="0" w:type="dxa"/>
              <w:left w:w="108" w:type="dxa"/>
              <w:bottom w:w="0" w:type="dxa"/>
              <w:right w:w="108" w:type="dxa"/>
            </w:tcMar>
          </w:tcPr>
          <w:p w14:paraId="41A8413F">
            <w:pPr>
              <w:pStyle w:val="39"/>
            </w:pPr>
            <w:r>
              <w:t>3.00</w:t>
            </w:r>
          </w:p>
        </w:tc>
        <w:tc>
          <w:tcPr>
            <w:tcW w:w="2762" w:type="dxa"/>
            <w:shd w:val="clear" w:color="auto" w:fill="FFFFFF" w:themeFill="background1"/>
            <w:tcMar>
              <w:top w:w="0" w:type="dxa"/>
              <w:left w:w="108" w:type="dxa"/>
              <w:bottom w:w="0" w:type="dxa"/>
              <w:right w:w="108" w:type="dxa"/>
            </w:tcMar>
          </w:tcPr>
          <w:p w14:paraId="6EDBF79C">
            <w:pPr>
              <w:pStyle w:val="39"/>
            </w:pPr>
            <w:r>
              <w:t>600</w:t>
            </w:r>
          </w:p>
        </w:tc>
        <w:tc>
          <w:tcPr>
            <w:tcW w:w="2763" w:type="dxa"/>
            <w:shd w:val="clear" w:color="auto" w:fill="FFFFFF" w:themeFill="background1"/>
            <w:tcMar>
              <w:top w:w="0" w:type="dxa"/>
              <w:left w:w="108" w:type="dxa"/>
              <w:bottom w:w="0" w:type="dxa"/>
              <w:right w:w="108" w:type="dxa"/>
            </w:tcMar>
          </w:tcPr>
          <w:p w14:paraId="07B700D4">
            <w:pPr>
              <w:pStyle w:val="39"/>
            </w:pPr>
            <w:r>
              <w:t>60</w:t>
            </w:r>
          </w:p>
        </w:tc>
      </w:tr>
      <w:tr w14:paraId="41A698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2761" w:type="dxa"/>
            <w:shd w:val="clear" w:color="auto" w:fill="FFFFFF" w:themeFill="background1"/>
            <w:tcMar>
              <w:top w:w="0" w:type="dxa"/>
              <w:left w:w="108" w:type="dxa"/>
              <w:bottom w:w="0" w:type="dxa"/>
              <w:right w:w="108" w:type="dxa"/>
            </w:tcMar>
          </w:tcPr>
          <w:p w14:paraId="3F083CF6">
            <w:pPr>
              <w:pStyle w:val="39"/>
            </w:pPr>
            <w:r>
              <w:t>5.00</w:t>
            </w:r>
          </w:p>
        </w:tc>
        <w:tc>
          <w:tcPr>
            <w:tcW w:w="2762" w:type="dxa"/>
            <w:shd w:val="clear" w:color="auto" w:fill="FFFFFF" w:themeFill="background1"/>
            <w:tcMar>
              <w:top w:w="0" w:type="dxa"/>
              <w:left w:w="108" w:type="dxa"/>
              <w:bottom w:w="0" w:type="dxa"/>
              <w:right w:w="108" w:type="dxa"/>
            </w:tcMar>
          </w:tcPr>
          <w:p w14:paraId="3A17818F">
            <w:pPr>
              <w:pStyle w:val="39"/>
            </w:pPr>
            <w:r>
              <w:t>700</w:t>
            </w:r>
          </w:p>
        </w:tc>
        <w:tc>
          <w:tcPr>
            <w:tcW w:w="2763" w:type="dxa"/>
            <w:shd w:val="clear" w:color="auto" w:fill="FFFFFF" w:themeFill="background1"/>
            <w:tcMar>
              <w:top w:w="0" w:type="dxa"/>
              <w:left w:w="108" w:type="dxa"/>
              <w:bottom w:w="0" w:type="dxa"/>
              <w:right w:w="108" w:type="dxa"/>
            </w:tcMar>
          </w:tcPr>
          <w:p w14:paraId="32D21CC6">
            <w:pPr>
              <w:pStyle w:val="39"/>
            </w:pPr>
            <w:r>
              <w:t>80</w:t>
            </w:r>
          </w:p>
        </w:tc>
      </w:tr>
      <w:tr w14:paraId="457A6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hemeFill="background1"/>
          <w:tblCellMar>
            <w:top w:w="0" w:type="dxa"/>
            <w:left w:w="0" w:type="dxa"/>
            <w:bottom w:w="0" w:type="dxa"/>
            <w:right w:w="0" w:type="dxa"/>
          </w:tblCellMar>
        </w:tblPrEx>
        <w:trPr>
          <w:jc w:val="center"/>
        </w:trPr>
        <w:tc>
          <w:tcPr>
            <w:tcW w:w="2761" w:type="dxa"/>
            <w:shd w:val="clear" w:color="auto" w:fill="FFFFFF" w:themeFill="background1"/>
            <w:tcMar>
              <w:top w:w="0" w:type="dxa"/>
              <w:left w:w="108" w:type="dxa"/>
              <w:bottom w:w="0" w:type="dxa"/>
              <w:right w:w="108" w:type="dxa"/>
            </w:tcMar>
          </w:tcPr>
          <w:p w14:paraId="2F444F2D">
            <w:pPr>
              <w:pStyle w:val="39"/>
            </w:pPr>
            <w:r>
              <w:t>10.00</w:t>
            </w:r>
          </w:p>
        </w:tc>
        <w:tc>
          <w:tcPr>
            <w:tcW w:w="2762" w:type="dxa"/>
            <w:shd w:val="clear" w:color="auto" w:fill="FFFFFF" w:themeFill="background1"/>
            <w:tcMar>
              <w:top w:w="0" w:type="dxa"/>
              <w:left w:w="108" w:type="dxa"/>
              <w:bottom w:w="0" w:type="dxa"/>
              <w:right w:w="108" w:type="dxa"/>
            </w:tcMar>
          </w:tcPr>
          <w:p w14:paraId="6A9E3DD9">
            <w:pPr>
              <w:pStyle w:val="39"/>
            </w:pPr>
            <w:r>
              <w:t>1000</w:t>
            </w:r>
          </w:p>
        </w:tc>
        <w:tc>
          <w:tcPr>
            <w:tcW w:w="2763" w:type="dxa"/>
            <w:shd w:val="clear" w:color="auto" w:fill="FFFFFF" w:themeFill="background1"/>
            <w:tcMar>
              <w:top w:w="0" w:type="dxa"/>
              <w:left w:w="108" w:type="dxa"/>
              <w:bottom w:w="0" w:type="dxa"/>
              <w:right w:w="108" w:type="dxa"/>
            </w:tcMar>
          </w:tcPr>
          <w:p w14:paraId="53B79921">
            <w:pPr>
              <w:pStyle w:val="39"/>
            </w:pPr>
            <w:r>
              <w:t>－</w:t>
            </w:r>
          </w:p>
        </w:tc>
      </w:tr>
      <w:tr w14:paraId="6DE1C4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2761" w:type="dxa"/>
            <w:shd w:val="clear" w:color="auto" w:fill="FFFFFF" w:themeFill="background1"/>
            <w:tcMar>
              <w:top w:w="0" w:type="dxa"/>
              <w:left w:w="108" w:type="dxa"/>
              <w:bottom w:w="0" w:type="dxa"/>
              <w:right w:w="108" w:type="dxa"/>
            </w:tcMar>
          </w:tcPr>
          <w:p w14:paraId="03826F73">
            <w:pPr>
              <w:pStyle w:val="39"/>
            </w:pPr>
            <w:r>
              <w:t>16.00</w:t>
            </w:r>
          </w:p>
        </w:tc>
        <w:tc>
          <w:tcPr>
            <w:tcW w:w="2762" w:type="dxa"/>
            <w:shd w:val="clear" w:color="auto" w:fill="FFFFFF" w:themeFill="background1"/>
            <w:tcMar>
              <w:top w:w="0" w:type="dxa"/>
              <w:left w:w="108" w:type="dxa"/>
              <w:bottom w:w="0" w:type="dxa"/>
              <w:right w:w="108" w:type="dxa"/>
            </w:tcMar>
          </w:tcPr>
          <w:p w14:paraId="3DFA4134">
            <w:pPr>
              <w:pStyle w:val="39"/>
            </w:pPr>
            <w:r>
              <w:t>1200</w:t>
            </w:r>
          </w:p>
        </w:tc>
        <w:tc>
          <w:tcPr>
            <w:tcW w:w="2763" w:type="dxa"/>
            <w:shd w:val="clear" w:color="auto" w:fill="FFFFFF" w:themeFill="background1"/>
            <w:tcMar>
              <w:top w:w="0" w:type="dxa"/>
              <w:left w:w="108" w:type="dxa"/>
              <w:bottom w:w="0" w:type="dxa"/>
              <w:right w:w="108" w:type="dxa"/>
            </w:tcMar>
          </w:tcPr>
          <w:p w14:paraId="44A44B19">
            <w:pPr>
              <w:pStyle w:val="39"/>
            </w:pPr>
            <w:r>
              <w:t>－</w:t>
            </w:r>
          </w:p>
        </w:tc>
      </w:tr>
      <w:tr w14:paraId="6847A2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2761" w:type="dxa"/>
            <w:shd w:val="clear" w:color="auto" w:fill="FFFFFF" w:themeFill="background1"/>
            <w:tcMar>
              <w:top w:w="0" w:type="dxa"/>
              <w:left w:w="108" w:type="dxa"/>
              <w:bottom w:w="0" w:type="dxa"/>
              <w:right w:w="108" w:type="dxa"/>
            </w:tcMar>
          </w:tcPr>
          <w:p w14:paraId="0939EC09">
            <w:pPr>
              <w:pStyle w:val="39"/>
            </w:pPr>
            <w:r>
              <w:t>20.00</w:t>
            </w:r>
          </w:p>
        </w:tc>
        <w:tc>
          <w:tcPr>
            <w:tcW w:w="2762" w:type="dxa"/>
            <w:shd w:val="clear" w:color="auto" w:fill="FFFFFF" w:themeFill="background1"/>
            <w:tcMar>
              <w:top w:w="0" w:type="dxa"/>
              <w:left w:w="108" w:type="dxa"/>
              <w:bottom w:w="0" w:type="dxa"/>
              <w:right w:w="108" w:type="dxa"/>
            </w:tcMar>
          </w:tcPr>
          <w:p w14:paraId="0E20C5C0">
            <w:pPr>
              <w:pStyle w:val="39"/>
            </w:pPr>
            <w:r>
              <w:t>1400</w:t>
            </w:r>
          </w:p>
        </w:tc>
        <w:tc>
          <w:tcPr>
            <w:tcW w:w="2763" w:type="dxa"/>
            <w:shd w:val="clear" w:color="auto" w:fill="FFFFFF" w:themeFill="background1"/>
            <w:tcMar>
              <w:top w:w="0" w:type="dxa"/>
              <w:left w:w="108" w:type="dxa"/>
              <w:bottom w:w="0" w:type="dxa"/>
              <w:right w:w="108" w:type="dxa"/>
            </w:tcMar>
          </w:tcPr>
          <w:p w14:paraId="1A4F1E3C">
            <w:pPr>
              <w:pStyle w:val="39"/>
            </w:pPr>
            <w:r>
              <w:t>—</w:t>
            </w:r>
          </w:p>
        </w:tc>
      </w:tr>
      <w:tr w14:paraId="741ECC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2761" w:type="dxa"/>
            <w:shd w:val="clear" w:color="auto" w:fill="FFFFFF" w:themeFill="background1"/>
            <w:tcMar>
              <w:top w:w="0" w:type="dxa"/>
              <w:left w:w="108" w:type="dxa"/>
              <w:bottom w:w="0" w:type="dxa"/>
              <w:right w:w="108" w:type="dxa"/>
            </w:tcMar>
          </w:tcPr>
          <w:p w14:paraId="1F26D739">
            <w:pPr>
              <w:pStyle w:val="39"/>
            </w:pPr>
            <w:r>
              <w:t>25.00</w:t>
            </w:r>
          </w:p>
        </w:tc>
        <w:tc>
          <w:tcPr>
            <w:tcW w:w="2762" w:type="dxa"/>
            <w:shd w:val="clear" w:color="auto" w:fill="FFFFFF" w:themeFill="background1"/>
            <w:tcMar>
              <w:top w:w="0" w:type="dxa"/>
              <w:left w:w="108" w:type="dxa"/>
              <w:bottom w:w="0" w:type="dxa"/>
              <w:right w:w="108" w:type="dxa"/>
            </w:tcMar>
          </w:tcPr>
          <w:p w14:paraId="301B64DF">
            <w:pPr>
              <w:pStyle w:val="39"/>
            </w:pPr>
            <w:r>
              <w:t>1600</w:t>
            </w:r>
          </w:p>
        </w:tc>
        <w:tc>
          <w:tcPr>
            <w:tcW w:w="2763" w:type="dxa"/>
            <w:shd w:val="clear" w:color="auto" w:fill="FFFFFF" w:themeFill="background1"/>
            <w:tcMar>
              <w:top w:w="0" w:type="dxa"/>
              <w:left w:w="108" w:type="dxa"/>
              <w:bottom w:w="0" w:type="dxa"/>
              <w:right w:w="108" w:type="dxa"/>
            </w:tcMar>
          </w:tcPr>
          <w:p w14:paraId="25F99D93">
            <w:pPr>
              <w:pStyle w:val="39"/>
            </w:pPr>
            <w:r>
              <w:t>—</w:t>
            </w:r>
          </w:p>
        </w:tc>
      </w:tr>
    </w:tbl>
    <w:p w14:paraId="5CA09126">
      <w:pPr>
        <w:spacing w:before="156"/>
        <w:ind w:firstLine="482"/>
        <w:rPr>
          <w:b/>
        </w:rPr>
      </w:pPr>
      <w:r>
        <w:rPr>
          <w:rFonts w:hint="eastAsia"/>
          <w:b/>
        </w:rPr>
        <w:t>10.</w:t>
      </w:r>
      <w:r>
        <w:rPr>
          <w:b/>
        </w:rPr>
        <w:t>3.</w:t>
      </w:r>
      <w:r>
        <w:rPr>
          <w:rFonts w:hint="eastAsia"/>
          <w:b/>
        </w:rPr>
        <w:t>4</w:t>
      </w:r>
      <w:r>
        <w:rPr>
          <w:b/>
        </w:rPr>
        <w:t xml:space="preserve"> </w:t>
      </w:r>
      <w:r>
        <w:t>砧座下垫层的铺设方式，应符合下列规定：</w:t>
      </w:r>
    </w:p>
    <w:p w14:paraId="16ED44A3">
      <w:pPr>
        <w:spacing w:before="156"/>
        <w:ind w:firstLine="482"/>
        <w:rPr>
          <w:kern w:val="0"/>
        </w:rPr>
      </w:pPr>
      <w:r>
        <w:rPr>
          <w:b/>
          <w:kern w:val="0"/>
        </w:rPr>
        <w:t>1</w:t>
      </w:r>
      <w:r>
        <w:rPr>
          <w:kern w:val="0"/>
        </w:rPr>
        <w:t xml:space="preserve">  木垫横放并由多层组成时，上下各层应交迭成十字形；最上层沿砧座底面的短边铺设，每层木垫厚度不宜小于150mm，并应每隔0.5m～1.0m用螺栓将方木拧紧，螺栓直径可按表</w:t>
      </w:r>
      <w:r>
        <w:rPr>
          <w:rFonts w:hint="eastAsia"/>
          <w:kern w:val="0"/>
        </w:rPr>
        <w:t>10.</w:t>
      </w:r>
      <w:r>
        <w:rPr>
          <w:kern w:val="0"/>
        </w:rPr>
        <w:t>3.</w:t>
      </w:r>
      <w:r>
        <w:rPr>
          <w:rFonts w:hint="eastAsia"/>
          <w:kern w:val="0"/>
        </w:rPr>
        <w:t>4</w:t>
      </w:r>
      <w:r>
        <w:rPr>
          <w:kern w:val="0"/>
        </w:rPr>
        <w:t>采用。</w:t>
      </w:r>
    </w:p>
    <w:p w14:paraId="276ECEEC">
      <w:pPr>
        <w:pStyle w:val="39"/>
        <w:rPr>
          <w:lang w:bidi="en-US"/>
        </w:rPr>
      </w:pPr>
      <w:r>
        <w:rPr>
          <w:lang w:bidi="en-US"/>
        </w:rPr>
        <w:t>表</w:t>
      </w:r>
      <w:r>
        <w:rPr>
          <w:rFonts w:hint="eastAsia"/>
          <w:kern w:val="0"/>
        </w:rPr>
        <w:t>10.</w:t>
      </w:r>
      <w:r>
        <w:rPr>
          <w:kern w:val="0"/>
        </w:rPr>
        <w:t>3.</w:t>
      </w:r>
      <w:r>
        <w:rPr>
          <w:rFonts w:hint="eastAsia"/>
          <w:kern w:val="0"/>
        </w:rPr>
        <w:t>4</w:t>
      </w:r>
      <w:r>
        <w:rPr>
          <w:lang w:bidi="en-US"/>
        </w:rPr>
        <w:t xml:space="preserve"> 横放木垫连接螺栓直径 </w:t>
      </w:r>
    </w:p>
    <w:tbl>
      <w:tblPr>
        <w:tblStyle w:val="31"/>
        <w:tblW w:w="829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148"/>
        <w:gridCol w:w="4148"/>
      </w:tblGrid>
      <w:tr w14:paraId="4D708B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48" w:type="dxa"/>
            <w:shd w:val="clear" w:color="auto" w:fill="auto"/>
          </w:tcPr>
          <w:p w14:paraId="610505EE">
            <w:pPr>
              <w:pStyle w:val="39"/>
            </w:pPr>
            <w:r>
              <w:t>每层木垫厚度(mm)</w:t>
            </w:r>
          </w:p>
        </w:tc>
        <w:tc>
          <w:tcPr>
            <w:tcW w:w="4148" w:type="dxa"/>
            <w:shd w:val="clear" w:color="auto" w:fill="auto"/>
          </w:tcPr>
          <w:p w14:paraId="18C15F45">
            <w:pPr>
              <w:pStyle w:val="39"/>
            </w:pPr>
            <w:r>
              <w:t>螺栓直径(mm)</w:t>
            </w:r>
          </w:p>
        </w:tc>
      </w:tr>
      <w:tr w14:paraId="192CD1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48" w:type="dxa"/>
            <w:shd w:val="clear" w:color="auto" w:fill="auto"/>
          </w:tcPr>
          <w:p w14:paraId="71A262C9">
            <w:pPr>
              <w:pStyle w:val="39"/>
            </w:pPr>
            <w:r>
              <w:t>150</w:t>
            </w:r>
          </w:p>
        </w:tc>
        <w:tc>
          <w:tcPr>
            <w:tcW w:w="4148" w:type="dxa"/>
            <w:shd w:val="clear" w:color="auto" w:fill="auto"/>
          </w:tcPr>
          <w:p w14:paraId="7DB4B912">
            <w:pPr>
              <w:pStyle w:val="39"/>
            </w:pPr>
            <w:r>
              <w:t>20</w:t>
            </w:r>
          </w:p>
        </w:tc>
      </w:tr>
      <w:tr w14:paraId="775680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48" w:type="dxa"/>
            <w:shd w:val="clear" w:color="auto" w:fill="auto"/>
          </w:tcPr>
          <w:p w14:paraId="67761BCA">
            <w:pPr>
              <w:pStyle w:val="39"/>
            </w:pPr>
            <w:r>
              <w:t>200</w:t>
            </w:r>
          </w:p>
        </w:tc>
        <w:tc>
          <w:tcPr>
            <w:tcW w:w="4148" w:type="dxa"/>
            <w:shd w:val="clear" w:color="auto" w:fill="auto"/>
          </w:tcPr>
          <w:p w14:paraId="39150B12">
            <w:pPr>
              <w:pStyle w:val="39"/>
            </w:pPr>
            <w:r>
              <w:t>24</w:t>
            </w:r>
          </w:p>
        </w:tc>
      </w:tr>
      <w:tr w14:paraId="59CD5F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48" w:type="dxa"/>
            <w:shd w:val="clear" w:color="auto" w:fill="auto"/>
          </w:tcPr>
          <w:p w14:paraId="4C8FEC88">
            <w:pPr>
              <w:pStyle w:val="39"/>
            </w:pPr>
            <w:r>
              <w:t>250</w:t>
            </w:r>
          </w:p>
        </w:tc>
        <w:tc>
          <w:tcPr>
            <w:tcW w:w="4148" w:type="dxa"/>
            <w:shd w:val="clear" w:color="auto" w:fill="auto"/>
          </w:tcPr>
          <w:p w14:paraId="487208EE">
            <w:pPr>
              <w:pStyle w:val="39"/>
            </w:pPr>
            <w:r>
              <w:t>30</w:t>
            </w:r>
          </w:p>
        </w:tc>
      </w:tr>
      <w:tr w14:paraId="2B800D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48" w:type="dxa"/>
            <w:shd w:val="clear" w:color="auto" w:fill="auto"/>
          </w:tcPr>
          <w:p w14:paraId="36C3CE89">
            <w:pPr>
              <w:pStyle w:val="39"/>
            </w:pPr>
            <w:r>
              <w:t>300</w:t>
            </w:r>
          </w:p>
        </w:tc>
        <w:tc>
          <w:tcPr>
            <w:tcW w:w="4148" w:type="dxa"/>
            <w:shd w:val="clear" w:color="auto" w:fill="auto"/>
          </w:tcPr>
          <w:p w14:paraId="10D737B0">
            <w:pPr>
              <w:pStyle w:val="39"/>
            </w:pPr>
            <w:r>
              <w:t>35</w:t>
            </w:r>
          </w:p>
        </w:tc>
      </w:tr>
    </w:tbl>
    <w:p w14:paraId="6A87CC3F">
      <w:pPr>
        <w:spacing w:before="156"/>
        <w:ind w:firstLine="482"/>
      </w:pPr>
      <w:r>
        <w:rPr>
          <w:b/>
        </w:rPr>
        <w:t>2</w:t>
      </w:r>
      <w:r>
        <w:t xml:space="preserve">  木垫竖放时，宜在砧座凹坑底面先横放一层厚100mm～150mm的木垫，然后再沿凹坑用方木立砌，并将顶面刨平；对小于0.5t锻锤可不放横向垫木。</w:t>
      </w:r>
    </w:p>
    <w:p w14:paraId="76B381D9">
      <w:pPr>
        <w:spacing w:before="156"/>
        <w:ind w:firstLine="482"/>
      </w:pPr>
      <w:r>
        <w:rPr>
          <w:b/>
        </w:rPr>
        <w:t>3</w:t>
      </w:r>
      <w:r>
        <w:t xml:space="preserve">  橡胶垫由一层或数层运输胶带或橡胶板组成，上下各层应顺条通缝迭放，并应在砧座凹坑内满铺。</w:t>
      </w:r>
    </w:p>
    <w:p w14:paraId="5F89506D">
      <w:pPr>
        <w:spacing w:before="156"/>
        <w:ind w:firstLine="482"/>
      </w:pPr>
      <w:r>
        <w:rPr>
          <w:rFonts w:hint="eastAsia"/>
          <w:b/>
          <w:bCs/>
        </w:rPr>
        <w:t>10.</w:t>
      </w:r>
      <w:r>
        <w:rPr>
          <w:b/>
          <w:bCs/>
        </w:rPr>
        <w:t>3.</w:t>
      </w:r>
      <w:r>
        <w:rPr>
          <w:rFonts w:hint="eastAsia"/>
          <w:b/>
          <w:bCs/>
        </w:rPr>
        <w:t>5</w:t>
      </w:r>
      <w:r>
        <w:rPr>
          <w:b/>
          <w:bCs/>
        </w:rPr>
        <w:t xml:space="preserve"> </w:t>
      </w:r>
      <w:r>
        <w:rPr>
          <w:bCs/>
        </w:rPr>
        <w:t>砧座垫层下基础部分的最小厚度，应符合表</w:t>
      </w:r>
      <w:r>
        <w:rPr>
          <w:rFonts w:hint="eastAsia"/>
          <w:bCs/>
        </w:rPr>
        <w:t>10</w:t>
      </w:r>
      <w:r>
        <w:rPr>
          <w:bCs/>
        </w:rPr>
        <w:t>.3.</w:t>
      </w:r>
      <w:r>
        <w:rPr>
          <w:rFonts w:hint="eastAsia"/>
          <w:bCs/>
        </w:rPr>
        <w:t>5</w:t>
      </w:r>
      <w:r>
        <w:rPr>
          <w:bCs/>
        </w:rPr>
        <w:t>的规定。</w:t>
      </w:r>
    </w:p>
    <w:p w14:paraId="31DF4356">
      <w:pPr>
        <w:pStyle w:val="39"/>
        <w:rPr>
          <w:lang w:bidi="en-US"/>
        </w:rPr>
      </w:pPr>
      <w:r>
        <w:rPr>
          <w:lang w:bidi="en-US"/>
        </w:rPr>
        <w:t>表10.3.</w:t>
      </w:r>
      <w:r>
        <w:rPr>
          <w:rFonts w:hint="eastAsia"/>
          <w:lang w:bidi="en-US"/>
        </w:rPr>
        <w:t>5</w:t>
      </w:r>
      <w:r>
        <w:rPr>
          <w:lang w:bidi="en-US"/>
        </w:rPr>
        <w:t xml:space="preserve">  砧座垫层下基础部分的最小厚度 </w:t>
      </w:r>
    </w:p>
    <w:tbl>
      <w:tblPr>
        <w:tblStyle w:val="31"/>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3109"/>
        <w:gridCol w:w="5187"/>
      </w:tblGrid>
      <w:tr w14:paraId="6DE943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exact"/>
        </w:trPr>
        <w:tc>
          <w:tcPr>
            <w:tcW w:w="3109" w:type="dxa"/>
            <w:tcMar>
              <w:top w:w="0" w:type="dxa"/>
              <w:left w:w="108" w:type="dxa"/>
              <w:bottom w:w="0" w:type="dxa"/>
              <w:right w:w="108" w:type="dxa"/>
            </w:tcMar>
            <w:vAlign w:val="center"/>
          </w:tcPr>
          <w:p w14:paraId="5D26F6A2">
            <w:pPr>
              <w:pStyle w:val="39"/>
            </w:pPr>
            <w:r>
              <w:t>落下部分公称质量(t)</w:t>
            </w:r>
          </w:p>
        </w:tc>
        <w:tc>
          <w:tcPr>
            <w:tcW w:w="5187" w:type="dxa"/>
            <w:tcMar>
              <w:top w:w="0" w:type="dxa"/>
              <w:left w:w="108" w:type="dxa"/>
              <w:bottom w:w="0" w:type="dxa"/>
              <w:right w:w="108" w:type="dxa"/>
            </w:tcMar>
            <w:vAlign w:val="center"/>
          </w:tcPr>
          <w:p w14:paraId="3AD08E20">
            <w:pPr>
              <w:pStyle w:val="39"/>
            </w:pPr>
            <w:r>
              <w:t>最小厚度(mm)</w:t>
            </w:r>
          </w:p>
        </w:tc>
      </w:tr>
      <w:tr w14:paraId="239522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exact"/>
        </w:trPr>
        <w:tc>
          <w:tcPr>
            <w:tcW w:w="3109" w:type="dxa"/>
            <w:tcMar>
              <w:top w:w="0" w:type="dxa"/>
              <w:left w:w="108" w:type="dxa"/>
              <w:bottom w:w="0" w:type="dxa"/>
              <w:right w:w="108" w:type="dxa"/>
            </w:tcMar>
            <w:vAlign w:val="center"/>
          </w:tcPr>
          <w:p w14:paraId="28C8E853">
            <w:pPr>
              <w:pStyle w:val="39"/>
            </w:pPr>
            <w:r>
              <w:t>≤0.75</w:t>
            </w:r>
          </w:p>
        </w:tc>
        <w:tc>
          <w:tcPr>
            <w:tcW w:w="5187" w:type="dxa"/>
            <w:tcMar>
              <w:top w:w="0" w:type="dxa"/>
              <w:left w:w="108" w:type="dxa"/>
              <w:bottom w:w="0" w:type="dxa"/>
              <w:right w:w="108" w:type="dxa"/>
            </w:tcMar>
            <w:vAlign w:val="center"/>
          </w:tcPr>
          <w:p w14:paraId="3E8586E7">
            <w:pPr>
              <w:pStyle w:val="39"/>
            </w:pPr>
            <w:r>
              <w:t>800</w:t>
            </w:r>
          </w:p>
        </w:tc>
      </w:tr>
      <w:tr w14:paraId="22E12E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exact"/>
        </w:trPr>
        <w:tc>
          <w:tcPr>
            <w:tcW w:w="3109" w:type="dxa"/>
            <w:tcMar>
              <w:top w:w="0" w:type="dxa"/>
              <w:left w:w="108" w:type="dxa"/>
              <w:bottom w:w="0" w:type="dxa"/>
              <w:right w:w="108" w:type="dxa"/>
            </w:tcMar>
            <w:vAlign w:val="center"/>
          </w:tcPr>
          <w:p w14:paraId="2B497B7D">
            <w:pPr>
              <w:pStyle w:val="39"/>
            </w:pPr>
            <w:r>
              <w:t>1</w:t>
            </w:r>
          </w:p>
        </w:tc>
        <w:tc>
          <w:tcPr>
            <w:tcW w:w="5187" w:type="dxa"/>
            <w:tcMar>
              <w:top w:w="0" w:type="dxa"/>
              <w:left w:w="108" w:type="dxa"/>
              <w:bottom w:w="0" w:type="dxa"/>
              <w:right w:w="108" w:type="dxa"/>
            </w:tcMar>
            <w:vAlign w:val="center"/>
          </w:tcPr>
          <w:p w14:paraId="3D13278D">
            <w:pPr>
              <w:pStyle w:val="39"/>
            </w:pPr>
            <w:r>
              <w:t>1000</w:t>
            </w:r>
          </w:p>
        </w:tc>
      </w:tr>
      <w:tr w14:paraId="7AE290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exact"/>
        </w:trPr>
        <w:tc>
          <w:tcPr>
            <w:tcW w:w="3109" w:type="dxa"/>
            <w:tcMar>
              <w:top w:w="0" w:type="dxa"/>
              <w:left w:w="108" w:type="dxa"/>
              <w:bottom w:w="0" w:type="dxa"/>
              <w:right w:w="108" w:type="dxa"/>
            </w:tcMar>
            <w:vAlign w:val="center"/>
          </w:tcPr>
          <w:p w14:paraId="33BFF700">
            <w:pPr>
              <w:pStyle w:val="39"/>
            </w:pPr>
            <w:r>
              <w:t>2</w:t>
            </w:r>
          </w:p>
        </w:tc>
        <w:tc>
          <w:tcPr>
            <w:tcW w:w="5187" w:type="dxa"/>
            <w:tcMar>
              <w:top w:w="0" w:type="dxa"/>
              <w:left w:w="108" w:type="dxa"/>
              <w:bottom w:w="0" w:type="dxa"/>
              <w:right w:w="108" w:type="dxa"/>
            </w:tcMar>
            <w:vAlign w:val="center"/>
          </w:tcPr>
          <w:p w14:paraId="66739330">
            <w:pPr>
              <w:pStyle w:val="39"/>
            </w:pPr>
            <w:r>
              <w:t>1200</w:t>
            </w:r>
          </w:p>
        </w:tc>
      </w:tr>
      <w:tr w14:paraId="6223B0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exact"/>
        </w:trPr>
        <w:tc>
          <w:tcPr>
            <w:tcW w:w="3109" w:type="dxa"/>
            <w:vAlign w:val="center"/>
          </w:tcPr>
          <w:p w14:paraId="60D30B16">
            <w:pPr>
              <w:pStyle w:val="39"/>
            </w:pPr>
            <w:r>
              <w:t>3</w:t>
            </w:r>
          </w:p>
        </w:tc>
        <w:tc>
          <w:tcPr>
            <w:tcW w:w="5187" w:type="dxa"/>
            <w:tcMar>
              <w:top w:w="0" w:type="dxa"/>
              <w:left w:w="108" w:type="dxa"/>
              <w:bottom w:w="0" w:type="dxa"/>
              <w:right w:w="108" w:type="dxa"/>
            </w:tcMar>
            <w:vAlign w:val="center"/>
          </w:tcPr>
          <w:p w14:paraId="1B5D376A">
            <w:pPr>
              <w:pStyle w:val="39"/>
            </w:pPr>
            <w:r>
              <w:t>1750</w:t>
            </w:r>
          </w:p>
        </w:tc>
      </w:tr>
      <w:tr w14:paraId="5A21B7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exact"/>
        </w:trPr>
        <w:tc>
          <w:tcPr>
            <w:tcW w:w="3109" w:type="dxa"/>
            <w:tcMar>
              <w:top w:w="0" w:type="dxa"/>
              <w:left w:w="108" w:type="dxa"/>
              <w:bottom w:w="0" w:type="dxa"/>
              <w:right w:w="108" w:type="dxa"/>
            </w:tcMar>
            <w:vAlign w:val="center"/>
          </w:tcPr>
          <w:p w14:paraId="0E494E00">
            <w:pPr>
              <w:pStyle w:val="39"/>
            </w:pPr>
            <w:r>
              <w:t>5</w:t>
            </w:r>
          </w:p>
        </w:tc>
        <w:tc>
          <w:tcPr>
            <w:tcW w:w="5187" w:type="dxa"/>
            <w:tcMar>
              <w:top w:w="0" w:type="dxa"/>
              <w:left w:w="108" w:type="dxa"/>
              <w:bottom w:w="0" w:type="dxa"/>
              <w:right w:w="108" w:type="dxa"/>
            </w:tcMar>
            <w:vAlign w:val="center"/>
          </w:tcPr>
          <w:p w14:paraId="2D420E0C">
            <w:pPr>
              <w:pStyle w:val="39"/>
            </w:pPr>
            <w:r>
              <w:t>2000</w:t>
            </w:r>
          </w:p>
        </w:tc>
      </w:tr>
      <w:tr w14:paraId="15A172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exact"/>
        </w:trPr>
        <w:tc>
          <w:tcPr>
            <w:tcW w:w="3109" w:type="dxa"/>
            <w:tcMar>
              <w:top w:w="0" w:type="dxa"/>
              <w:left w:w="108" w:type="dxa"/>
              <w:bottom w:w="0" w:type="dxa"/>
              <w:right w:w="108" w:type="dxa"/>
            </w:tcMar>
            <w:vAlign w:val="center"/>
          </w:tcPr>
          <w:p w14:paraId="5A7A4AFE">
            <w:pPr>
              <w:pStyle w:val="39"/>
            </w:pPr>
            <w:r>
              <w:t>10</w:t>
            </w:r>
          </w:p>
        </w:tc>
        <w:tc>
          <w:tcPr>
            <w:tcW w:w="5187" w:type="dxa"/>
            <w:tcMar>
              <w:top w:w="0" w:type="dxa"/>
              <w:left w:w="108" w:type="dxa"/>
              <w:bottom w:w="0" w:type="dxa"/>
              <w:right w:w="108" w:type="dxa"/>
            </w:tcMar>
            <w:vAlign w:val="center"/>
          </w:tcPr>
          <w:p w14:paraId="209BD75B">
            <w:pPr>
              <w:pStyle w:val="39"/>
            </w:pPr>
            <w:r>
              <w:t>2750</w:t>
            </w:r>
          </w:p>
        </w:tc>
      </w:tr>
      <w:tr w14:paraId="1B03CE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exact"/>
        </w:trPr>
        <w:tc>
          <w:tcPr>
            <w:tcW w:w="3109" w:type="dxa"/>
            <w:tcMar>
              <w:top w:w="0" w:type="dxa"/>
              <w:left w:w="108" w:type="dxa"/>
              <w:bottom w:w="0" w:type="dxa"/>
              <w:right w:w="108" w:type="dxa"/>
            </w:tcMar>
            <w:vAlign w:val="center"/>
          </w:tcPr>
          <w:p w14:paraId="6DBE443E">
            <w:pPr>
              <w:pStyle w:val="39"/>
            </w:pPr>
            <w:r>
              <w:t>16</w:t>
            </w:r>
          </w:p>
        </w:tc>
        <w:tc>
          <w:tcPr>
            <w:tcW w:w="5187" w:type="dxa"/>
            <w:tcMar>
              <w:top w:w="0" w:type="dxa"/>
              <w:left w:w="108" w:type="dxa"/>
              <w:bottom w:w="0" w:type="dxa"/>
              <w:right w:w="108" w:type="dxa"/>
            </w:tcMar>
            <w:vAlign w:val="center"/>
          </w:tcPr>
          <w:p w14:paraId="374CDE95">
            <w:pPr>
              <w:pStyle w:val="39"/>
            </w:pPr>
            <w:r>
              <w:t>3500</w:t>
            </w:r>
          </w:p>
        </w:tc>
      </w:tr>
      <w:tr w14:paraId="4FFCD1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exact"/>
        </w:trPr>
        <w:tc>
          <w:tcPr>
            <w:tcW w:w="3109" w:type="dxa"/>
            <w:tcMar>
              <w:top w:w="0" w:type="dxa"/>
              <w:left w:w="108" w:type="dxa"/>
              <w:bottom w:w="0" w:type="dxa"/>
              <w:right w:w="108" w:type="dxa"/>
            </w:tcMar>
            <w:vAlign w:val="center"/>
          </w:tcPr>
          <w:p w14:paraId="7C242B8E">
            <w:pPr>
              <w:pStyle w:val="39"/>
            </w:pPr>
            <w:r>
              <w:t>20</w:t>
            </w:r>
          </w:p>
        </w:tc>
        <w:tc>
          <w:tcPr>
            <w:tcW w:w="5187" w:type="dxa"/>
            <w:tcMar>
              <w:top w:w="0" w:type="dxa"/>
              <w:left w:w="108" w:type="dxa"/>
              <w:bottom w:w="0" w:type="dxa"/>
              <w:right w:w="108" w:type="dxa"/>
            </w:tcMar>
            <w:vAlign w:val="center"/>
          </w:tcPr>
          <w:p w14:paraId="12A7F208">
            <w:pPr>
              <w:pStyle w:val="39"/>
            </w:pPr>
            <w:r>
              <w:t>4000</w:t>
            </w:r>
          </w:p>
        </w:tc>
      </w:tr>
      <w:tr w14:paraId="7D0D81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exact"/>
        </w:trPr>
        <w:tc>
          <w:tcPr>
            <w:tcW w:w="3109" w:type="dxa"/>
            <w:tcMar>
              <w:top w:w="0" w:type="dxa"/>
              <w:left w:w="108" w:type="dxa"/>
              <w:bottom w:w="0" w:type="dxa"/>
              <w:right w:w="108" w:type="dxa"/>
            </w:tcMar>
            <w:vAlign w:val="center"/>
          </w:tcPr>
          <w:p w14:paraId="3106CEF2">
            <w:pPr>
              <w:pStyle w:val="39"/>
            </w:pPr>
            <w:r>
              <w:t>25</w:t>
            </w:r>
          </w:p>
        </w:tc>
        <w:tc>
          <w:tcPr>
            <w:tcW w:w="5187" w:type="dxa"/>
            <w:tcMar>
              <w:top w:w="0" w:type="dxa"/>
              <w:left w:w="108" w:type="dxa"/>
              <w:bottom w:w="0" w:type="dxa"/>
              <w:right w:w="108" w:type="dxa"/>
            </w:tcMar>
            <w:vAlign w:val="center"/>
          </w:tcPr>
          <w:p w14:paraId="6D3DF5D9">
            <w:pPr>
              <w:pStyle w:val="39"/>
            </w:pPr>
            <w:r>
              <w:t>4500</w:t>
            </w:r>
          </w:p>
        </w:tc>
      </w:tr>
    </w:tbl>
    <w:p w14:paraId="13B7DF80">
      <w:pPr>
        <w:spacing w:before="156"/>
        <w:ind w:firstLine="482"/>
        <w:rPr>
          <w:b/>
        </w:rPr>
      </w:pPr>
      <w:r>
        <w:rPr>
          <w:rFonts w:hint="eastAsia"/>
          <w:b/>
        </w:rPr>
        <w:t>10.</w:t>
      </w:r>
      <w:r>
        <w:rPr>
          <w:b/>
        </w:rPr>
        <w:t>3.</w:t>
      </w:r>
      <w:r>
        <w:rPr>
          <w:rFonts w:hint="eastAsia"/>
          <w:b/>
        </w:rPr>
        <w:t>6</w:t>
      </w:r>
      <w:r>
        <w:rPr>
          <w:b/>
        </w:rPr>
        <w:t xml:space="preserve"> </w:t>
      </w:r>
      <w:r>
        <w:t>基础的配筋，应符合下列规定：</w:t>
      </w:r>
    </w:p>
    <w:p w14:paraId="1005DCF6">
      <w:pPr>
        <w:spacing w:before="156"/>
        <w:ind w:firstLine="482"/>
        <w:rPr>
          <w:kern w:val="0"/>
        </w:rPr>
      </w:pPr>
      <w:r>
        <w:rPr>
          <w:b/>
          <w:kern w:val="0"/>
        </w:rPr>
        <w:t>1</w:t>
      </w:r>
      <w:r>
        <w:rPr>
          <w:kern w:val="0"/>
        </w:rPr>
        <w:t xml:space="preserve"> 砧座垫层下基础上部应配置水平钢筋网，钢筋直径宜为12mm～20mm，钢筋间距宜为100mm～150mm；伸过凹坑内壁的长度，不宜小于50倍钢筋直径；钢筋网宜伸至基础外缘，钢筋网的层数可按表</w:t>
      </w:r>
      <w:r>
        <w:rPr>
          <w:rFonts w:hint="eastAsia"/>
          <w:kern w:val="0"/>
        </w:rPr>
        <w:t>10.</w:t>
      </w:r>
      <w:r>
        <w:rPr>
          <w:kern w:val="0"/>
        </w:rPr>
        <w:t>3.</w:t>
      </w:r>
      <w:r>
        <w:rPr>
          <w:rFonts w:hint="eastAsia"/>
          <w:kern w:val="0"/>
        </w:rPr>
        <w:t>6</w:t>
      </w:r>
      <w:r>
        <w:rPr>
          <w:kern w:val="0"/>
        </w:rPr>
        <w:t>采用，各层钢筋网的竖向间距宜为100mm～200mm，并</w:t>
      </w:r>
      <w:r>
        <w:rPr>
          <w:rFonts w:hint="eastAsia"/>
          <w:kern w:val="0"/>
        </w:rPr>
        <w:t>宜</w:t>
      </w:r>
      <w:r>
        <w:rPr>
          <w:kern w:val="0"/>
        </w:rPr>
        <w:t>按上密下疏的原则布置；最上层钢筋网的混凝土保护层厚度，宜为30 mm～50mm。</w:t>
      </w:r>
    </w:p>
    <w:p w14:paraId="4BFA8A54">
      <w:pPr>
        <w:pStyle w:val="39"/>
        <w:rPr>
          <w:lang w:bidi="en-US"/>
        </w:rPr>
      </w:pPr>
      <w:r>
        <w:rPr>
          <w:lang w:bidi="en-US"/>
        </w:rPr>
        <w:t>表</w:t>
      </w:r>
      <w:r>
        <w:rPr>
          <w:rFonts w:hint="eastAsia"/>
          <w:lang w:bidi="en-US"/>
        </w:rPr>
        <w:t>10.</w:t>
      </w:r>
      <w:r>
        <w:rPr>
          <w:lang w:bidi="en-US"/>
        </w:rPr>
        <w:t>3.</w:t>
      </w:r>
      <w:r>
        <w:rPr>
          <w:rFonts w:hint="eastAsia"/>
          <w:lang w:bidi="en-US"/>
        </w:rPr>
        <w:t>6</w:t>
      </w:r>
      <w:r>
        <w:rPr>
          <w:lang w:bidi="en-US"/>
        </w:rPr>
        <w:t xml:space="preserve">  钢筋网层数</w:t>
      </w:r>
    </w:p>
    <w:tbl>
      <w:tblPr>
        <w:tblStyle w:val="31"/>
        <w:tblW w:w="8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974"/>
        <w:gridCol w:w="1134"/>
        <w:gridCol w:w="992"/>
        <w:gridCol w:w="1134"/>
        <w:gridCol w:w="993"/>
        <w:gridCol w:w="1069"/>
      </w:tblGrid>
      <w:tr w14:paraId="2D08A9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974" w:type="dxa"/>
            <w:shd w:val="clear" w:color="auto" w:fill="auto"/>
            <w:vAlign w:val="center"/>
          </w:tcPr>
          <w:p w14:paraId="6599A4DC">
            <w:pPr>
              <w:pStyle w:val="39"/>
            </w:pPr>
            <w:r>
              <w:t>落下部分公称质量(t)</w:t>
            </w:r>
          </w:p>
        </w:tc>
        <w:tc>
          <w:tcPr>
            <w:tcW w:w="1134" w:type="dxa"/>
            <w:shd w:val="clear" w:color="auto" w:fill="auto"/>
            <w:vAlign w:val="center"/>
          </w:tcPr>
          <w:p w14:paraId="52567EC9">
            <w:pPr>
              <w:pStyle w:val="39"/>
            </w:pPr>
            <w:r>
              <w:t>≤1</w:t>
            </w:r>
          </w:p>
        </w:tc>
        <w:tc>
          <w:tcPr>
            <w:tcW w:w="992" w:type="dxa"/>
            <w:shd w:val="clear" w:color="auto" w:fill="auto"/>
            <w:vAlign w:val="center"/>
          </w:tcPr>
          <w:p w14:paraId="5B4AD051">
            <w:pPr>
              <w:pStyle w:val="39"/>
            </w:pPr>
            <w:r>
              <w:t>2～3</w:t>
            </w:r>
          </w:p>
        </w:tc>
        <w:tc>
          <w:tcPr>
            <w:tcW w:w="1134" w:type="dxa"/>
            <w:shd w:val="clear" w:color="auto" w:fill="auto"/>
            <w:vAlign w:val="center"/>
          </w:tcPr>
          <w:p w14:paraId="60269176">
            <w:pPr>
              <w:pStyle w:val="39"/>
            </w:pPr>
            <w:r>
              <w:t>5～10</w:t>
            </w:r>
          </w:p>
        </w:tc>
        <w:tc>
          <w:tcPr>
            <w:tcW w:w="993" w:type="dxa"/>
            <w:shd w:val="clear" w:color="auto" w:fill="auto"/>
            <w:vAlign w:val="center"/>
          </w:tcPr>
          <w:p w14:paraId="42A73422">
            <w:pPr>
              <w:pStyle w:val="39"/>
            </w:pPr>
            <w:r>
              <w:t>16</w:t>
            </w:r>
          </w:p>
        </w:tc>
        <w:tc>
          <w:tcPr>
            <w:tcW w:w="1069" w:type="dxa"/>
            <w:vAlign w:val="center"/>
          </w:tcPr>
          <w:p w14:paraId="2387D525">
            <w:pPr>
              <w:pStyle w:val="39"/>
            </w:pPr>
            <w:r>
              <w:t>20~25</w:t>
            </w:r>
          </w:p>
        </w:tc>
      </w:tr>
      <w:tr w14:paraId="742640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974" w:type="dxa"/>
            <w:shd w:val="clear" w:color="auto" w:fill="auto"/>
            <w:vAlign w:val="center"/>
          </w:tcPr>
          <w:p w14:paraId="40531BE1">
            <w:pPr>
              <w:pStyle w:val="39"/>
            </w:pPr>
            <w:r>
              <w:t>钢筋网层数</w:t>
            </w:r>
          </w:p>
        </w:tc>
        <w:tc>
          <w:tcPr>
            <w:tcW w:w="1134" w:type="dxa"/>
            <w:shd w:val="clear" w:color="auto" w:fill="auto"/>
            <w:vAlign w:val="center"/>
          </w:tcPr>
          <w:p w14:paraId="4F614FB8">
            <w:pPr>
              <w:pStyle w:val="39"/>
            </w:pPr>
            <w:r>
              <w:t>2</w:t>
            </w:r>
          </w:p>
        </w:tc>
        <w:tc>
          <w:tcPr>
            <w:tcW w:w="992" w:type="dxa"/>
            <w:shd w:val="clear" w:color="auto" w:fill="auto"/>
            <w:vAlign w:val="center"/>
          </w:tcPr>
          <w:p w14:paraId="633C1C89">
            <w:pPr>
              <w:pStyle w:val="39"/>
            </w:pPr>
            <w:r>
              <w:t>3</w:t>
            </w:r>
          </w:p>
        </w:tc>
        <w:tc>
          <w:tcPr>
            <w:tcW w:w="1134" w:type="dxa"/>
            <w:shd w:val="clear" w:color="auto" w:fill="auto"/>
            <w:vAlign w:val="center"/>
          </w:tcPr>
          <w:p w14:paraId="141F93AE">
            <w:pPr>
              <w:pStyle w:val="39"/>
            </w:pPr>
            <w:r>
              <w:t>4</w:t>
            </w:r>
          </w:p>
        </w:tc>
        <w:tc>
          <w:tcPr>
            <w:tcW w:w="993" w:type="dxa"/>
            <w:shd w:val="clear" w:color="auto" w:fill="auto"/>
            <w:vAlign w:val="center"/>
          </w:tcPr>
          <w:p w14:paraId="1A7140DF">
            <w:pPr>
              <w:pStyle w:val="39"/>
            </w:pPr>
            <w:r>
              <w:t>5</w:t>
            </w:r>
          </w:p>
        </w:tc>
        <w:tc>
          <w:tcPr>
            <w:tcW w:w="1069" w:type="dxa"/>
            <w:vAlign w:val="center"/>
          </w:tcPr>
          <w:p w14:paraId="05D26981">
            <w:pPr>
              <w:pStyle w:val="39"/>
            </w:pPr>
            <w:r>
              <w:t>6</w:t>
            </w:r>
          </w:p>
        </w:tc>
      </w:tr>
    </w:tbl>
    <w:p w14:paraId="7A74D3F1">
      <w:pPr>
        <w:spacing w:before="156"/>
        <w:ind w:firstLine="482"/>
      </w:pPr>
      <w:r>
        <w:rPr>
          <w:b/>
        </w:rPr>
        <w:t>2</w:t>
      </w:r>
      <w:r>
        <w:t xml:space="preserve"> 砧座凹坑的四周，应配置竖向钢筋网，钢筋间距宜采用100mm～250mm；当锻锤小于5t时，钢筋直径宜采用12mm～20mm；当锻锤不小于5t时，钢筋直径宜采用20mm～25mm；竖向钢筋宜伸至基础底面。</w:t>
      </w:r>
    </w:p>
    <w:p w14:paraId="6EF3C9D8">
      <w:pPr>
        <w:spacing w:before="156"/>
        <w:ind w:firstLine="482"/>
      </w:pPr>
      <w:r>
        <w:rPr>
          <w:b/>
        </w:rPr>
        <w:t>3</w:t>
      </w:r>
      <w:r>
        <w:t xml:space="preserve"> 基础的底面应配置水平钢筋网，钢筋间距宜为100mm～250mm；当锻锤小于5t时，钢筋直径宜采用12mm～20mm；当锻锤不小于5t 时，钢筋直径宜采用18mm～25mm。</w:t>
      </w:r>
    </w:p>
    <w:p w14:paraId="19936912">
      <w:pPr>
        <w:spacing w:before="156"/>
        <w:ind w:firstLine="482"/>
      </w:pPr>
      <w:r>
        <w:rPr>
          <w:b/>
        </w:rPr>
        <w:t>4</w:t>
      </w:r>
      <w:r>
        <w:t xml:space="preserve"> 基础及基础台阶顶面，砧座凹坑外侧面及不小于2t的锻锤基础侧面，应配置钢筋网，钢筋直径宜应采用12 mm～20mm、间距宜为150 mm～250mm。</w:t>
      </w:r>
    </w:p>
    <w:p w14:paraId="473285EB">
      <w:pPr>
        <w:spacing w:before="156"/>
        <w:ind w:firstLine="482"/>
      </w:pPr>
      <w:r>
        <w:rPr>
          <w:b/>
        </w:rPr>
        <w:t>5</w:t>
      </w:r>
      <w:r>
        <w:t xml:space="preserve"> 不小于5t 锻锤砧座垫层下的基础，应沿竖向配置水平钢筋网，钢筋直径宜采用12mm～20mm、水平间距不宜大于400mm，竖向间距不宜大于800mm。</w:t>
      </w:r>
    </w:p>
    <w:p w14:paraId="4DCB7258">
      <w:pPr>
        <w:spacing w:before="156"/>
        <w:ind w:firstLine="0" w:firstLineChars="0"/>
        <w:jc w:val="center"/>
      </w:pPr>
      <w:r>
        <w:drawing>
          <wp:inline distT="0" distB="0" distL="0" distR="0">
            <wp:extent cx="5274310" cy="4772660"/>
            <wp:effectExtent l="0" t="0" r="254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2"/>
                    <a:stretch>
                      <a:fillRect/>
                    </a:stretch>
                  </pic:blipFill>
                  <pic:spPr>
                    <a:xfrm>
                      <a:off x="0" y="0"/>
                      <a:ext cx="5274310" cy="4772660"/>
                    </a:xfrm>
                    <a:prstGeom prst="rect">
                      <a:avLst/>
                    </a:prstGeom>
                  </pic:spPr>
                </pic:pic>
              </a:graphicData>
            </a:graphic>
          </wp:inline>
        </w:drawing>
      </w:r>
    </w:p>
    <w:p w14:paraId="141AD341">
      <w:pPr>
        <w:pStyle w:val="39"/>
      </w:pPr>
      <w:r>
        <w:rPr>
          <w:rFonts w:hint="eastAsia"/>
        </w:rPr>
        <w:t>图10.3.6 大块式基础配筋示意图</w:t>
      </w:r>
    </w:p>
    <w:p w14:paraId="0A8E5F9B">
      <w:pPr>
        <w:spacing w:before="156"/>
        <w:ind w:firstLine="480"/>
      </w:pPr>
      <w:r>
        <w:rPr>
          <w:rFonts w:hint="eastAsia"/>
        </w:rPr>
        <w:t>6</w:t>
      </w:r>
      <w:r>
        <w:t xml:space="preserve"> </w:t>
      </w:r>
      <w:r>
        <w:rPr>
          <w:rFonts w:hint="eastAsia"/>
        </w:rPr>
        <w:t>转角处及孔洞周边应增设斜向加强筋，防止应力集中。</w:t>
      </w:r>
    </w:p>
    <w:p w14:paraId="784872EA">
      <w:pPr>
        <w:spacing w:before="156"/>
        <w:ind w:firstLine="482"/>
        <w:rPr>
          <w:b/>
          <w:bCs/>
        </w:rPr>
      </w:pPr>
      <w:r>
        <w:rPr>
          <w:b/>
          <w:bCs/>
        </w:rPr>
        <w:t>10.3.</w:t>
      </w:r>
      <w:r>
        <w:rPr>
          <w:rFonts w:hint="eastAsia"/>
          <w:b/>
          <w:bCs/>
        </w:rPr>
        <w:t>7</w:t>
      </w:r>
      <w:r>
        <w:rPr>
          <w:b/>
          <w:bCs/>
        </w:rPr>
        <w:t xml:space="preserve"> </w:t>
      </w:r>
      <w:r>
        <w:rPr>
          <w:bCs/>
        </w:rPr>
        <w:t>砧座凹坑与砧座、垫层的四周间隙中，应采用沥青麻丝填实，并应在间隙顶面50mm～100mm范围内用沥青浇灌。</w:t>
      </w:r>
    </w:p>
    <w:p w14:paraId="7BA7BE57">
      <w:pPr>
        <w:spacing w:before="156"/>
        <w:ind w:firstLine="482"/>
        <w:rPr>
          <w:bCs/>
        </w:rPr>
      </w:pPr>
      <w:r>
        <w:rPr>
          <w:b/>
          <w:bCs/>
        </w:rPr>
        <w:t>10.3.</w:t>
      </w:r>
      <w:r>
        <w:rPr>
          <w:rFonts w:hint="eastAsia"/>
          <w:b/>
          <w:bCs/>
        </w:rPr>
        <w:t>8</w:t>
      </w:r>
      <w:r>
        <w:rPr>
          <w:b/>
          <w:bCs/>
        </w:rPr>
        <w:t xml:space="preserve"> </w:t>
      </w:r>
      <w:r>
        <w:rPr>
          <w:rFonts w:hint="eastAsia"/>
          <w:bCs/>
        </w:rPr>
        <w:t>锻锤基础地脚螺栓的设置，应符合下列规定：</w:t>
      </w:r>
    </w:p>
    <w:p w14:paraId="1F0BFF8F">
      <w:pPr>
        <w:spacing w:before="156"/>
        <w:ind w:firstLine="480"/>
      </w:pPr>
      <w:r>
        <w:rPr>
          <w:rFonts w:hint="eastAsia"/>
        </w:rPr>
        <w:t>1  I型和II型地脚螺栓的锚固长度不应小于25倍螺栓直径，III型地脚螺栓的锚固长度不应小于20倍螺栓直径。并应符合《混凝土结构设计标准》GB</w:t>
      </w:r>
      <w:r>
        <w:t xml:space="preserve"> </w:t>
      </w:r>
      <w:r>
        <w:rPr>
          <w:rFonts w:hint="eastAsia"/>
        </w:rPr>
        <w:t>50010关于钢筋锚固长度的规定。</w:t>
      </w:r>
    </w:p>
    <w:p w14:paraId="34831290">
      <w:pPr>
        <w:spacing w:before="156"/>
        <w:ind w:firstLine="480"/>
      </w:pPr>
      <w:r>
        <w:rPr>
          <w:rFonts w:hint="eastAsia"/>
        </w:rPr>
        <w:t>2  地脚螺栓轴线距基础边缘的距离不应小于5倍螺栓直径，且不应小于150mm，预留孔边缘距基础边缘的距离不应小于100mm，当不满足要求时，应采取加强措施。</w:t>
      </w:r>
    </w:p>
    <w:p w14:paraId="56E8F5DC">
      <w:pPr>
        <w:spacing w:before="156"/>
        <w:ind w:firstLine="480"/>
        <w:rPr>
          <w:bCs/>
        </w:rPr>
      </w:pPr>
      <w:r>
        <w:rPr>
          <w:rFonts w:hint="eastAsia"/>
          <w:bCs/>
        </w:rPr>
        <w:t>3  预埋地脚螺栓底面下混凝土的厚度不应小于50mm，当设置预留孔时，孔底面下混凝土的厚度不应小于100mm。</w:t>
      </w:r>
    </w:p>
    <w:p w14:paraId="258F0837">
      <w:pPr>
        <w:spacing w:before="156"/>
        <w:ind w:firstLine="480"/>
      </w:pPr>
      <w:r>
        <w:rPr>
          <w:rFonts w:hint="eastAsia"/>
        </w:rPr>
        <w:t>3</w:t>
      </w:r>
      <w:r>
        <w:t xml:space="preserve"> </w:t>
      </w:r>
      <w:r>
        <w:rPr>
          <w:rFonts w:hint="eastAsia"/>
        </w:rPr>
        <w:t xml:space="preserve">预埋件位置偏差应控制在±5mm以内，确保设备安装精度。 </w:t>
      </w:r>
    </w:p>
    <w:p w14:paraId="29C0FB7E">
      <w:pPr>
        <w:spacing w:before="156"/>
        <w:ind w:firstLine="480"/>
      </w:pPr>
      <w:r>
        <w:rPr>
          <w:rFonts w:hint="eastAsia"/>
        </w:rPr>
        <w:t>10.3.9</w:t>
      </w:r>
      <w:r>
        <w:t xml:space="preserve"> </w:t>
      </w:r>
      <w:r>
        <w:rPr>
          <w:rFonts w:hint="eastAsia"/>
        </w:rPr>
        <w:t>基础和预埋件的尺寸与精度尚应符合现行国家标准《混凝土结构工程施工质量验收规范》GB 50204、《钢结构工程施工质量验收规范》GB 50205、《建筑地基基础工程施工质量验收标准》GB 50202、《混凝土结构设计规范》GB 50010、《建筑地基基础设计规范》GB 50007、《动力机器基础设计标准》GB 50040的要求。</w:t>
      </w:r>
    </w:p>
    <w:p w14:paraId="559007B7">
      <w:pPr>
        <w:pStyle w:val="4"/>
        <w:spacing w:before="156"/>
      </w:pPr>
      <w:r>
        <w:rPr>
          <w:rFonts w:hint="eastAsia"/>
        </w:rPr>
        <w:t xml:space="preserve">10.4 地基处理 </w:t>
      </w:r>
    </w:p>
    <w:p w14:paraId="1184D3B8">
      <w:pPr>
        <w:spacing w:before="156"/>
        <w:ind w:firstLine="480"/>
      </w:pPr>
      <w:r>
        <w:t>1</w:t>
      </w:r>
      <w:r>
        <w:rPr>
          <w:rFonts w:hint="eastAsia"/>
        </w:rPr>
        <w:t>0</w:t>
      </w:r>
      <w:r>
        <w:t xml:space="preserve">.4.1 </w:t>
      </w:r>
      <w:r>
        <w:rPr>
          <w:rFonts w:hint="eastAsia"/>
        </w:rPr>
        <w:t>对于特殊地质条件应符合下列规定：</w:t>
      </w:r>
    </w:p>
    <w:p w14:paraId="2FBB0453">
      <w:pPr>
        <w:spacing w:before="156"/>
        <w:ind w:firstLine="480"/>
      </w:pPr>
      <w:r>
        <w:rPr>
          <w:rFonts w:hint="eastAsia"/>
        </w:rPr>
        <w:t>1遇软弱土、液化土或湿陷性黄土时，应采用桩基、换填或注浆加固，桩基间距宜为桩径的4~5倍。</w:t>
      </w:r>
    </w:p>
    <w:p w14:paraId="34A1ACC2">
      <w:pPr>
        <w:spacing w:before="156"/>
        <w:ind w:firstLine="480"/>
      </w:pPr>
      <w:r>
        <w:rPr>
          <w:rFonts w:hint="eastAsia"/>
        </w:rPr>
        <w:t>2地基承载力不足时，应采取人工地基、打桩、扩大基础底面积或采用筏板基础等措施。</w:t>
      </w:r>
    </w:p>
    <w:p w14:paraId="396D68B1">
      <w:pPr>
        <w:spacing w:before="156"/>
        <w:ind w:firstLine="480"/>
      </w:pPr>
      <w:r>
        <w:rPr>
          <w:rFonts w:hint="eastAsia"/>
        </w:rPr>
        <w:t>10</w:t>
      </w:r>
      <w:r>
        <w:t xml:space="preserve">.4.2 </w:t>
      </w:r>
      <w:r>
        <w:rPr>
          <w:rFonts w:hint="eastAsia"/>
        </w:rPr>
        <w:t>防振措施应符合下列要求：</w:t>
      </w:r>
    </w:p>
    <w:p w14:paraId="35561C74">
      <w:pPr>
        <w:spacing w:before="156"/>
        <w:ind w:firstLine="480"/>
      </w:pPr>
      <w:r>
        <w:rPr>
          <w:rFonts w:hint="eastAsia"/>
        </w:rPr>
        <w:t>1隔振基础周边应设置防振沟，沟宽不小于300mm。</w:t>
      </w:r>
    </w:p>
    <w:p w14:paraId="438E52ED">
      <w:pPr>
        <w:spacing w:before="156"/>
        <w:ind w:firstLine="480"/>
      </w:pPr>
      <w:r>
        <w:rPr>
          <w:rFonts w:hint="eastAsia"/>
        </w:rPr>
        <w:t xml:space="preserve">2基础底部可铺设砂石垫层，厚度不小于300mm。 </w:t>
      </w:r>
    </w:p>
    <w:p w14:paraId="5FD29A4A">
      <w:pPr>
        <w:spacing w:before="156"/>
        <w:ind w:firstLine="480"/>
      </w:pPr>
      <w:r>
        <w:rPr>
          <w:rFonts w:hint="eastAsia"/>
        </w:rPr>
        <w:t>10</w:t>
      </w:r>
      <w:r>
        <w:t>.4.</w:t>
      </w:r>
      <w:r>
        <w:rPr>
          <w:rFonts w:hint="eastAsia"/>
        </w:rPr>
        <w:t>3</w:t>
      </w:r>
      <w:r>
        <w:t xml:space="preserve"> </w:t>
      </w:r>
      <w:r>
        <w:rPr>
          <w:rFonts w:hint="eastAsia"/>
        </w:rPr>
        <w:t>基础周边回填土应分层夯实，压实系数不应小于0.94，避免不均匀沉降。</w:t>
      </w:r>
    </w:p>
    <w:p w14:paraId="51C0C901">
      <w:pPr>
        <w:pStyle w:val="4"/>
        <w:spacing w:before="156"/>
      </w:pPr>
      <w:r>
        <w:rPr>
          <w:rFonts w:hint="eastAsia"/>
        </w:rPr>
        <w:t>10.5 施工与验收</w:t>
      </w:r>
    </w:p>
    <w:p w14:paraId="3AE0F4EF">
      <w:pPr>
        <w:spacing w:before="156"/>
        <w:ind w:firstLine="482"/>
        <w:rPr>
          <w:b/>
        </w:rPr>
      </w:pPr>
      <w:r>
        <w:rPr>
          <w:rFonts w:hint="eastAsia"/>
          <w:b/>
        </w:rPr>
        <w:t>10.</w:t>
      </w:r>
      <w:r>
        <w:rPr>
          <w:b/>
        </w:rPr>
        <w:t xml:space="preserve">5.1 </w:t>
      </w:r>
      <w:r>
        <w:t>锻锤基础，在砧座垫层下1.5m高度范围内，不得设置施工缝；砧座垫层下的基础上表面应一次抹平，</w:t>
      </w:r>
      <w:r>
        <w:rPr>
          <w:rFonts w:hint="eastAsia"/>
        </w:rPr>
        <w:t>不得</w:t>
      </w:r>
      <w:r>
        <w:t>做找平层；木垫下基础的水平</w:t>
      </w:r>
      <w:r>
        <w:rPr>
          <w:rFonts w:hint="eastAsia"/>
        </w:rPr>
        <w:t>向倾斜</w:t>
      </w:r>
      <w:r>
        <w:t>度不应大于1‰，橡胶垫下的水平</w:t>
      </w:r>
      <w:r>
        <w:rPr>
          <w:rFonts w:hint="eastAsia"/>
        </w:rPr>
        <w:t>向倾斜</w:t>
      </w:r>
      <w:r>
        <w:t>度不应大于0.5‰。</w:t>
      </w:r>
    </w:p>
    <w:p w14:paraId="74B0D8AF">
      <w:pPr>
        <w:spacing w:before="156"/>
        <w:ind w:firstLine="480"/>
      </w:pPr>
      <w:r>
        <w:rPr>
          <w:rFonts w:hint="eastAsia"/>
        </w:rPr>
        <w:t>10.5.</w:t>
      </w:r>
      <w:r>
        <w:t>2</w:t>
      </w:r>
      <w:r>
        <w:rPr>
          <w:rFonts w:hint="eastAsia"/>
        </w:rPr>
        <w:t>锻锤基础施工应符合下列要求：</w:t>
      </w:r>
    </w:p>
    <w:p w14:paraId="168B2836">
      <w:pPr>
        <w:spacing w:before="156"/>
        <w:ind w:firstLine="480"/>
      </w:pPr>
      <w:r>
        <w:rPr>
          <w:rFonts w:hint="eastAsia"/>
        </w:rPr>
        <w:t>1混凝土浇筑应连续进行，避免冷缝；振捣必须密实，尤其注意钢筋密集区域。混凝土养护时间不少于14天。</w:t>
      </w:r>
    </w:p>
    <w:p w14:paraId="702B10DF">
      <w:pPr>
        <w:spacing w:before="156"/>
        <w:ind w:firstLine="480"/>
      </w:pPr>
      <w:r>
        <w:rPr>
          <w:rFonts w:hint="eastAsia"/>
        </w:rPr>
        <w:t>2隔振系统安装时，隔振器（如橡胶隔振器、弹簧隔振系统）安装前需校准水平度，偏差不超过1/1000。隔振元件应固定牢固，安装后需进行初始压缩量检查。</w:t>
      </w:r>
    </w:p>
    <w:p w14:paraId="739AFD0F">
      <w:pPr>
        <w:spacing w:before="156"/>
        <w:ind w:firstLine="480"/>
      </w:pPr>
      <w:r>
        <w:rPr>
          <w:rFonts w:hint="eastAsia"/>
        </w:rPr>
        <w:t>3预埋件与地脚螺栓的埋置：预埋件位置偏差控制在±5mm以内，地脚螺栓预埋深度不小于螺栓直径的25倍。螺栓外露长度、垂直度应符合设计要求，安装后需临时固定防止移位。</w:t>
      </w:r>
    </w:p>
    <w:p w14:paraId="70E15BDF">
      <w:pPr>
        <w:spacing w:before="156"/>
        <w:ind w:firstLine="480"/>
      </w:pPr>
      <w:r>
        <w:rPr>
          <w:rFonts w:hint="eastAsia"/>
        </w:rPr>
        <w:t>4钢筋工程：钢筋规格、间距、搭接长度应符合设计要求，双层双向钢筋网间距不大于200mm。转角及孔洞周边应增设斜向加强筋，防止应力集中。</w:t>
      </w:r>
    </w:p>
    <w:p w14:paraId="3BA224D1">
      <w:pPr>
        <w:spacing w:before="156"/>
        <w:ind w:firstLine="480"/>
      </w:pPr>
      <w:r>
        <w:rPr>
          <w:rFonts w:hint="eastAsia"/>
        </w:rPr>
        <w:t>5地基处理：软弱地基需按设计要求进行换填、打桩或注浆加固，桩基间距宜为桩径的4~5倍。基础底部砂石垫层厚度不小于300mm，分层夯实。</w:t>
      </w:r>
    </w:p>
    <w:p w14:paraId="10AE7AD2">
      <w:pPr>
        <w:spacing w:before="156"/>
        <w:ind w:firstLine="480"/>
      </w:pPr>
      <w:r>
        <w:rPr>
          <w:rFonts w:hint="eastAsia"/>
        </w:rPr>
        <w:t>6回填土施工：基础周边回填土应分层夯实，每层厚度不超过300mm，压实系数不小于0.94。</w:t>
      </w:r>
    </w:p>
    <w:p w14:paraId="75EFCDA9">
      <w:pPr>
        <w:spacing w:before="156"/>
        <w:ind w:firstLine="480"/>
      </w:pPr>
      <w:r>
        <w:rPr>
          <w:rFonts w:hint="eastAsia"/>
        </w:rPr>
        <w:t>10.5.</w:t>
      </w:r>
      <w:r>
        <w:t xml:space="preserve">3 </w:t>
      </w:r>
      <w:r>
        <w:rPr>
          <w:rFonts w:hint="eastAsia"/>
        </w:rPr>
        <w:t>基础施工验收应符合下列要求：</w:t>
      </w:r>
    </w:p>
    <w:p w14:paraId="587E2042">
      <w:pPr>
        <w:spacing w:before="156"/>
        <w:ind w:firstLine="480"/>
      </w:pPr>
      <w:r>
        <w:rPr>
          <w:rFonts w:hint="eastAsia"/>
        </w:rPr>
        <w:t>1外观与尺寸检查：基础尺寸允许偏差：轴线±10mm，顶面标高±5mm。基础表面无裂缝、蜂窝、孔洞等缺陷，局部缺陷面积不超过总面积的0.5%。</w:t>
      </w:r>
    </w:p>
    <w:p w14:paraId="1B71DFC8">
      <w:pPr>
        <w:spacing w:before="156"/>
        <w:ind w:firstLine="480"/>
      </w:pPr>
      <w:r>
        <w:rPr>
          <w:rFonts w:hint="eastAsia"/>
        </w:rPr>
        <w:t>2允许偏差：轴线偏差：±10mm；顶面标高偏差：±5mm；预埋件位置偏差：±5mm。</w:t>
      </w:r>
    </w:p>
    <w:p w14:paraId="34FEA3DF">
      <w:pPr>
        <w:spacing w:before="156"/>
        <w:ind w:firstLine="480"/>
      </w:pPr>
      <w:r>
        <w:rPr>
          <w:rFonts w:hint="eastAsia"/>
        </w:rPr>
        <w:t>3材料与强度检测：混凝土试块抗压强度需达到设计强度等级，并符合《混凝土强度检验评定标准》GB/T 50107。防水混凝土抗渗等级不低于P6（特殊环境不低于P8）。</w:t>
      </w:r>
    </w:p>
    <w:p w14:paraId="1A5984F1">
      <w:pPr>
        <w:spacing w:before="156"/>
        <w:ind w:firstLine="480"/>
      </w:pPr>
      <w:r>
        <w:rPr>
          <w:rFonts w:hint="eastAsia"/>
        </w:rPr>
        <w:t>4振动测试：振动幅值、频率应符合《建筑工程容许振动标准》GB 50868的规定。隔振系统效率需满足设计要求，测试数据存档备查。</w:t>
      </w:r>
    </w:p>
    <w:p w14:paraId="6808590F">
      <w:pPr>
        <w:spacing w:before="156"/>
        <w:ind w:firstLine="480"/>
      </w:pPr>
      <w:r>
        <w:rPr>
          <w:rFonts w:hint="eastAsia"/>
        </w:rPr>
        <w:t>5预埋件与锚固检查：地脚螺栓紧固扭矩符合设计要求，无松动现象。预埋件焊缝质量按《钢结构工程施工质量验收标准》GB 50205进行检测。</w:t>
      </w:r>
    </w:p>
    <w:p w14:paraId="43E9C66F">
      <w:pPr>
        <w:spacing w:before="156"/>
        <w:ind w:firstLine="480"/>
      </w:pPr>
      <w:r>
        <w:rPr>
          <w:rFonts w:hint="eastAsia"/>
        </w:rPr>
        <w:t>6资料验收：提供完整的施工记录（含混凝土浇筑、养护、隔振器安装等）、材料合格证及检测报告。地基处理专项验收记录（如桩基检测报告、压实度测试等）。</w:t>
      </w:r>
    </w:p>
    <w:p w14:paraId="5CBC2896">
      <w:pPr>
        <w:spacing w:before="156"/>
        <w:ind w:firstLine="480"/>
      </w:pPr>
      <w:r>
        <w:rPr>
          <w:rFonts w:hint="eastAsia"/>
        </w:rPr>
        <w:t>7其他要求：施工过程中发现地质异常或设计变更，需及时联系设计单位调整方案。验收合格后，需在基础表面标注沉降观测点，定期监测使用阶段的沉降与振动情况。</w:t>
      </w:r>
    </w:p>
    <w:p w14:paraId="3B7EBC98">
      <w:pPr>
        <w:spacing w:before="156"/>
        <w:ind w:firstLine="480"/>
      </w:pPr>
      <w:r>
        <w:rPr>
          <w:rFonts w:hint="eastAsia"/>
        </w:rPr>
        <w:t>8依据规范：《混凝土结构工程施工质量验收规范》GB 50204、《建筑工程容许振动标准》GB 50868、《钢结构工程施工质量验收规范》GB 50205、《建筑地基基础工程施工质量验收标准》GB 50202、《混凝土结构设计规范》GB 50010、 《建筑地基基础设计规范》GB 50007、《动力机器基础设计标准》GB 50040。</w:t>
      </w:r>
    </w:p>
    <w:p w14:paraId="4FA8C9BA">
      <w:pPr>
        <w:pStyle w:val="3"/>
      </w:pPr>
      <w:r>
        <w:t>1</w:t>
      </w:r>
      <w:r>
        <w:rPr>
          <w:rFonts w:hint="eastAsia"/>
        </w:rPr>
        <w:t>1、监测与运维</w:t>
      </w:r>
    </w:p>
    <w:p w14:paraId="194FB3EC">
      <w:pPr>
        <w:pStyle w:val="4"/>
        <w:spacing w:before="156" w:beforeLines="0"/>
      </w:pPr>
      <w:r>
        <w:t>1</w:t>
      </w:r>
      <w:r>
        <w:rPr>
          <w:rFonts w:hint="eastAsia"/>
        </w:rPr>
        <w:t>1.1</w:t>
      </w:r>
      <w:r>
        <w:t xml:space="preserve"> </w:t>
      </w:r>
      <w:r>
        <w:rPr>
          <w:rFonts w:hint="eastAsia"/>
        </w:rPr>
        <w:t>一般规定</w:t>
      </w:r>
    </w:p>
    <w:p w14:paraId="685AB1B7">
      <w:pPr>
        <w:spacing w:beforeLines="0"/>
        <w:ind w:firstLine="480"/>
      </w:pPr>
      <w:r>
        <w:rPr>
          <w:rFonts w:hint="eastAsia"/>
        </w:rPr>
        <w:t xml:space="preserve">11.1.1 本章适用于锻锤基础在施工及使用阶段的振动监测与运维管理，确保基础长期安全稳定运行。  </w:t>
      </w:r>
    </w:p>
    <w:p w14:paraId="7A60B93B">
      <w:pPr>
        <w:spacing w:beforeLines="0"/>
        <w:ind w:firstLine="480"/>
      </w:pPr>
      <w:r>
        <w:rPr>
          <w:rFonts w:hint="eastAsia"/>
        </w:rPr>
        <w:t xml:space="preserve">11.1.2 检测内容应包括振动响应、结构变形、隔振器性能及周边环境影响等。  </w:t>
      </w:r>
    </w:p>
    <w:p w14:paraId="6BAF0105">
      <w:pPr>
        <w:spacing w:beforeLines="0"/>
        <w:ind w:firstLine="480"/>
      </w:pPr>
      <w:r>
        <w:rPr>
          <w:rFonts w:hint="eastAsia"/>
        </w:rPr>
        <w:t xml:space="preserve">11.1.3 运维管理应结合监测数据，制定定期检查、维护和应急处理措施。  </w:t>
      </w:r>
    </w:p>
    <w:p w14:paraId="7694B2E0">
      <w:pPr>
        <w:pStyle w:val="4"/>
        <w:spacing w:before="156"/>
      </w:pPr>
      <w:r>
        <w:rPr>
          <w:rFonts w:hint="eastAsia"/>
        </w:rPr>
        <w:t xml:space="preserve">11.2 振动监测  </w:t>
      </w:r>
    </w:p>
    <w:p w14:paraId="419F233A">
      <w:pPr>
        <w:spacing w:beforeLines="0"/>
        <w:ind w:firstLine="480"/>
      </w:pPr>
      <w:r>
        <w:rPr>
          <w:rFonts w:hint="eastAsia"/>
        </w:rPr>
        <w:t>11.2.1</w:t>
      </w:r>
      <w:r>
        <w:t xml:space="preserve"> </w:t>
      </w:r>
      <w:r>
        <w:rPr>
          <w:rFonts w:hint="eastAsia"/>
        </w:rPr>
        <w:t xml:space="preserve">检测项目 </w:t>
      </w:r>
    </w:p>
    <w:p w14:paraId="47ABE39E">
      <w:pPr>
        <w:spacing w:beforeLines="0"/>
        <w:ind w:firstLine="480"/>
      </w:pPr>
      <w:r>
        <w:rPr>
          <w:rFonts w:hint="eastAsia"/>
        </w:rPr>
        <w:t>1振动控制点设置应选取：基础顶面、隔振器上下端、周边敏感区域等位置。</w:t>
      </w:r>
    </w:p>
    <w:p w14:paraId="1117389F">
      <w:pPr>
        <w:spacing w:beforeLines="0"/>
        <w:ind w:firstLine="480"/>
      </w:pPr>
      <w:r>
        <w:rPr>
          <w:rFonts w:hint="eastAsia"/>
        </w:rPr>
        <w:t xml:space="preserve">2检测参数应包括振动控制点的振动速度或加速度，对于隔振基础尚应测试位移响应。  </w:t>
      </w:r>
    </w:p>
    <w:p w14:paraId="42E3E95A">
      <w:pPr>
        <w:spacing w:beforeLines="0"/>
        <w:ind w:firstLine="480"/>
      </w:pPr>
      <w:r>
        <w:rPr>
          <w:rFonts w:hint="eastAsia"/>
        </w:rPr>
        <w:t xml:space="preserve">3检测尚需包含：基础沉降、倾斜及裂缝发展等内容。  </w:t>
      </w:r>
    </w:p>
    <w:p w14:paraId="3C7C0760">
      <w:pPr>
        <w:spacing w:beforeLines="0"/>
        <w:ind w:firstLine="480"/>
      </w:pPr>
      <w:r>
        <w:rPr>
          <w:rFonts w:hint="eastAsia"/>
        </w:rPr>
        <w:t xml:space="preserve">4 检测隔振器状态时，应包含：刚度变化、阻尼性能及位移限位等内容。  </w:t>
      </w:r>
    </w:p>
    <w:p w14:paraId="438D8B2A">
      <w:pPr>
        <w:spacing w:beforeLines="0"/>
        <w:ind w:firstLine="480"/>
      </w:pPr>
      <w:r>
        <w:rPr>
          <w:rFonts w:hint="eastAsia"/>
        </w:rPr>
        <w:t>11.2.2</w:t>
      </w:r>
      <w:r>
        <w:t xml:space="preserve"> </w:t>
      </w:r>
      <w:r>
        <w:rPr>
          <w:rFonts w:hint="eastAsia"/>
        </w:rPr>
        <w:t xml:space="preserve">传感器布置 </w:t>
      </w:r>
    </w:p>
    <w:p w14:paraId="2820AD64">
      <w:pPr>
        <w:spacing w:beforeLines="0"/>
        <w:ind w:firstLine="480"/>
      </w:pPr>
      <w:r>
        <w:rPr>
          <w:rFonts w:hint="eastAsia"/>
        </w:rPr>
        <w:t xml:space="preserve">1基础顶面布置不少于4个测点，隔振器位置布置双向传感器。  </w:t>
      </w:r>
    </w:p>
    <w:p w14:paraId="08A894B9">
      <w:pPr>
        <w:spacing w:beforeLines="0"/>
        <w:ind w:firstLine="480"/>
      </w:pPr>
      <w:r>
        <w:rPr>
          <w:rFonts w:hint="eastAsia"/>
        </w:rPr>
        <w:t xml:space="preserve">2周边敏感区域（如建筑物）每20m布置1个测点。 </w:t>
      </w:r>
    </w:p>
    <w:p w14:paraId="2495D13C">
      <w:pPr>
        <w:spacing w:beforeLines="0"/>
        <w:ind w:firstLine="480"/>
      </w:pPr>
      <w:r>
        <w:rPr>
          <w:rFonts w:hint="eastAsia"/>
        </w:rPr>
        <w:t>11.2.3</w:t>
      </w:r>
      <w:r>
        <w:t xml:space="preserve"> </w:t>
      </w:r>
      <w:r>
        <w:rPr>
          <w:rFonts w:hint="eastAsia"/>
        </w:rPr>
        <w:t xml:space="preserve">监测频率  </w:t>
      </w:r>
    </w:p>
    <w:p w14:paraId="2288A7DE">
      <w:pPr>
        <w:spacing w:beforeLines="0"/>
        <w:ind w:firstLine="480"/>
      </w:pPr>
      <w:r>
        <w:rPr>
          <w:rFonts w:hint="eastAsia"/>
        </w:rPr>
        <w:t xml:space="preserve">1安装调试阶段：每月2次； </w:t>
      </w:r>
    </w:p>
    <w:p w14:paraId="6F9CA48C">
      <w:pPr>
        <w:spacing w:beforeLines="0"/>
        <w:ind w:firstLine="480"/>
      </w:pPr>
      <w:r>
        <w:rPr>
          <w:rFonts w:hint="eastAsia"/>
        </w:rPr>
        <w:t xml:space="preserve">2运行初期（1年内）：每月1次； </w:t>
      </w:r>
    </w:p>
    <w:p w14:paraId="676171D6">
      <w:pPr>
        <w:spacing w:beforeLines="0"/>
        <w:ind w:firstLine="480"/>
      </w:pPr>
      <w:r>
        <w:rPr>
          <w:rFonts w:hint="eastAsia"/>
        </w:rPr>
        <w:t xml:space="preserve">3稳定运行期：每季度1次； </w:t>
      </w:r>
    </w:p>
    <w:p w14:paraId="20591D00">
      <w:pPr>
        <w:spacing w:beforeLines="0"/>
        <w:ind w:firstLine="480"/>
      </w:pPr>
      <w:r>
        <w:rPr>
          <w:rFonts w:hint="eastAsia"/>
        </w:rPr>
        <w:t xml:space="preserve">4异常情况下：实时连续监测。 </w:t>
      </w:r>
    </w:p>
    <w:p w14:paraId="250DC1BA">
      <w:pPr>
        <w:pStyle w:val="4"/>
        <w:spacing w:before="156"/>
      </w:pPr>
      <w:r>
        <w:rPr>
          <w:rFonts w:hint="eastAsia"/>
        </w:rPr>
        <w:t xml:space="preserve">11.3 数据处理与分析  </w:t>
      </w:r>
    </w:p>
    <w:p w14:paraId="1BCDC10F">
      <w:pPr>
        <w:spacing w:beforeLines="0"/>
        <w:ind w:firstLine="480"/>
      </w:pPr>
      <w:r>
        <w:rPr>
          <w:rFonts w:hint="eastAsia"/>
        </w:rPr>
        <w:t>11.3.1 数据采集应符合《工业建筑振动检测与评价技术规程》</w:t>
      </w:r>
      <w:r>
        <w:t>T/CECS 1124-2022</w:t>
      </w:r>
      <w:r>
        <w:rPr>
          <w:rFonts w:hint="eastAsia"/>
        </w:rPr>
        <w:t xml:space="preserve">的规定。  </w:t>
      </w:r>
    </w:p>
    <w:p w14:paraId="3F7410AD">
      <w:pPr>
        <w:spacing w:beforeLines="0"/>
        <w:ind w:firstLine="480"/>
      </w:pPr>
      <w:r>
        <w:rPr>
          <w:rFonts w:hint="eastAsia"/>
        </w:rPr>
        <w:t xml:space="preserve">11.3.2 分析内容应包括：  </w:t>
      </w:r>
    </w:p>
    <w:p w14:paraId="62B08779">
      <w:pPr>
        <w:spacing w:beforeLines="0"/>
        <w:ind w:firstLine="480"/>
      </w:pPr>
      <w:r>
        <w:rPr>
          <w:rFonts w:hint="eastAsia"/>
        </w:rPr>
        <w:t xml:space="preserve">1. 时域分析：峰值振动、脉冲持续时间；  </w:t>
      </w:r>
    </w:p>
    <w:p w14:paraId="294A29DD">
      <w:pPr>
        <w:spacing w:beforeLines="0"/>
        <w:ind w:firstLine="480"/>
      </w:pPr>
      <w:r>
        <w:rPr>
          <w:rFonts w:hint="eastAsia"/>
        </w:rPr>
        <w:t xml:space="preserve">2. 频域分析：主导频率与隔振系统固有频率的匹配性；  </w:t>
      </w:r>
    </w:p>
    <w:p w14:paraId="1D34D542">
      <w:pPr>
        <w:spacing w:beforeLines="0"/>
        <w:ind w:firstLine="480"/>
      </w:pPr>
      <w:r>
        <w:rPr>
          <w:rFonts w:hint="eastAsia"/>
        </w:rPr>
        <w:t xml:space="preserve">3. 趋势分析：振动幅值随时间的变化规律。  </w:t>
      </w:r>
    </w:p>
    <w:p w14:paraId="2B955C7B">
      <w:pPr>
        <w:spacing w:beforeLines="0"/>
        <w:ind w:firstLine="480"/>
      </w:pPr>
      <w:r>
        <w:rPr>
          <w:rFonts w:hint="eastAsia"/>
        </w:rPr>
        <w:t xml:space="preserve">11.3.3 报警阈值设定：  </w:t>
      </w:r>
    </w:p>
    <w:p w14:paraId="1C09A7F0">
      <w:pPr>
        <w:spacing w:beforeLines="0"/>
        <w:ind w:firstLine="480"/>
      </w:pPr>
      <w:r>
        <w:rPr>
          <w:rFonts w:hint="eastAsia"/>
        </w:rPr>
        <w:t xml:space="preserve">1振动速度超过GB 50868限值的80%时触发预警；  </w:t>
      </w:r>
    </w:p>
    <w:p w14:paraId="397C6014">
      <w:pPr>
        <w:spacing w:beforeLines="0"/>
        <w:ind w:firstLine="480"/>
      </w:pPr>
      <w:r>
        <w:rPr>
          <w:rFonts w:hint="eastAsia"/>
        </w:rPr>
        <w:t xml:space="preserve">2隔振器位移超过设计值的10%时需检修。  </w:t>
      </w:r>
    </w:p>
    <w:p w14:paraId="5FC3D027">
      <w:pPr>
        <w:pStyle w:val="4"/>
        <w:spacing w:before="156"/>
      </w:pPr>
      <w:r>
        <w:rPr>
          <w:rFonts w:hint="eastAsia"/>
        </w:rPr>
        <w:t xml:space="preserve">11.4 运维管理  </w:t>
      </w:r>
    </w:p>
    <w:p w14:paraId="5A07D362">
      <w:pPr>
        <w:spacing w:before="156"/>
        <w:ind w:firstLine="480"/>
      </w:pPr>
      <w:r>
        <w:rPr>
          <w:rFonts w:hint="eastAsia"/>
        </w:rPr>
        <w:t>11.4.1 锻锤基础应进行定期监测包括人工巡视监测，一年内宜每月监测1次，两年及以后半年监测1次。若无异常情况，可调整为每年1~2次，但遇强振、地质变化或设备改造时应加密监测。</w:t>
      </w:r>
    </w:p>
    <w:p w14:paraId="7511C294">
      <w:pPr>
        <w:spacing w:before="156"/>
        <w:ind w:firstLine="480"/>
      </w:pPr>
      <w:r>
        <w:rPr>
          <w:rFonts w:hint="eastAsia"/>
        </w:rPr>
        <w:t>11.4.2</w:t>
      </w:r>
      <w:r>
        <w:t xml:space="preserve"> </w:t>
      </w:r>
      <w:r>
        <w:rPr>
          <w:rFonts w:hint="eastAsia"/>
        </w:rPr>
        <w:t>监测项目包括设备振动监测，螺栓紧固、基础沉降、裂缝、基础渗漏水检查等；采用隔振基础时尚应对隔振器进行检查。</w:t>
      </w:r>
    </w:p>
    <w:p w14:paraId="44D0723D">
      <w:pPr>
        <w:spacing w:before="156"/>
        <w:ind w:firstLine="480"/>
      </w:pPr>
      <w:r>
        <w:rPr>
          <w:rFonts w:hint="eastAsia"/>
        </w:rPr>
        <w:t>11.4.3 监测点宜布置在基础顶面或锻锤底脚、厂房基础地面或墙面上，且易于观测的位置。</w:t>
      </w:r>
    </w:p>
    <w:p w14:paraId="0354D292">
      <w:pPr>
        <w:spacing w:before="156"/>
        <w:ind w:firstLine="480"/>
      </w:pPr>
      <w:r>
        <w:rPr>
          <w:rFonts w:hint="eastAsia"/>
        </w:rPr>
        <w:t>11.4.4</w:t>
      </w:r>
      <w:r>
        <w:t xml:space="preserve"> </w:t>
      </w:r>
      <w:r>
        <w:rPr>
          <w:rFonts w:hint="eastAsia"/>
        </w:rPr>
        <w:t>隔振系统宜每年进行固有频率、阻尼比等动态参数复测。</w:t>
      </w:r>
    </w:p>
    <w:p w14:paraId="417076CF">
      <w:pPr>
        <w:spacing w:beforeLines="0"/>
        <w:ind w:firstLine="480"/>
      </w:pPr>
      <w:r>
        <w:rPr>
          <w:rFonts w:hint="eastAsia"/>
        </w:rPr>
        <w:t>11.4.5</w:t>
      </w:r>
      <w:r>
        <w:t xml:space="preserve"> </w:t>
      </w:r>
      <w:r>
        <w:rPr>
          <w:rFonts w:hint="eastAsia"/>
        </w:rPr>
        <w:t xml:space="preserve">应急处理 </w:t>
      </w:r>
    </w:p>
    <w:p w14:paraId="128ACB6D">
      <w:pPr>
        <w:spacing w:beforeLines="0"/>
        <w:ind w:firstLine="480"/>
      </w:pPr>
      <w:r>
        <w:rPr>
          <w:rFonts w:hint="eastAsia"/>
        </w:rPr>
        <w:t>1</w:t>
      </w:r>
      <w:r>
        <w:t xml:space="preserve"> </w:t>
      </w:r>
      <w:r>
        <w:rPr>
          <w:rFonts w:hint="eastAsia"/>
        </w:rPr>
        <w:t xml:space="preserve">振动超标时，立即停机并排查设备故障或地基异常；  </w:t>
      </w:r>
    </w:p>
    <w:p w14:paraId="71AAE179">
      <w:pPr>
        <w:spacing w:beforeLines="0"/>
        <w:ind w:firstLine="480"/>
      </w:pPr>
      <w:r>
        <w:rPr>
          <w:rFonts w:hint="eastAsia"/>
        </w:rPr>
        <w:t>2</w:t>
      </w:r>
      <w:r>
        <w:t xml:space="preserve"> </w:t>
      </w:r>
      <w:r>
        <w:rPr>
          <w:rFonts w:hint="eastAsia"/>
        </w:rPr>
        <w:t xml:space="preserve">隔振器失效时，临时加固并更换受损部件。  </w:t>
      </w:r>
    </w:p>
    <w:p w14:paraId="2D570A84">
      <w:pPr>
        <w:pStyle w:val="3"/>
      </w:pPr>
      <w:bookmarkStart w:id="11" w:name="_Toc206578609"/>
      <w:r>
        <w:rPr>
          <w:rFonts w:hint="eastAsia"/>
        </w:rPr>
        <w:t>附录A、振动传播评估</w:t>
      </w:r>
      <w:bookmarkEnd w:id="11"/>
    </w:p>
    <w:p w14:paraId="7F3B3D1F">
      <w:pPr>
        <w:pStyle w:val="4"/>
        <w:spacing w:before="156"/>
      </w:pPr>
      <w:bookmarkStart w:id="12" w:name="_Toc206578610"/>
      <w:r>
        <w:rPr>
          <w:rFonts w:hint="eastAsia"/>
        </w:rPr>
        <w:t>A.1</w:t>
      </w:r>
      <w:r>
        <w:t xml:space="preserve"> </w:t>
      </w:r>
      <w:r>
        <w:rPr>
          <w:rFonts w:hint="eastAsia"/>
        </w:rPr>
        <w:t>一般规定</w:t>
      </w:r>
      <w:bookmarkEnd w:id="12"/>
    </w:p>
    <w:p w14:paraId="1EA4BFEE">
      <w:pPr>
        <w:spacing w:before="156"/>
        <w:ind w:firstLine="480"/>
      </w:pPr>
      <w:r>
        <w:rPr>
          <w:rFonts w:hint="eastAsia"/>
        </w:rPr>
        <w:t>A</w:t>
      </w:r>
      <w:r>
        <w:t xml:space="preserve">.1.1 </w:t>
      </w:r>
      <w:r>
        <w:rPr>
          <w:rFonts w:hint="eastAsia"/>
        </w:rPr>
        <w:t xml:space="preserve">本章适用于锻锤基础振动对所在厂房结构、周边环境及建筑物影响的评估，包括振动传播范围、衰减规律及控制措施的设计。  </w:t>
      </w:r>
    </w:p>
    <w:p w14:paraId="3163D611">
      <w:pPr>
        <w:spacing w:before="156"/>
        <w:ind w:firstLine="480"/>
      </w:pPr>
      <w:r>
        <w:rPr>
          <w:rFonts w:hint="eastAsia"/>
        </w:rPr>
        <w:t xml:space="preserve">A.1.2 振动传播评估应结合现场实测与预测数据，确保结果符合现行国家标准《建筑工程容许振动标准》GB 50868的要求。  </w:t>
      </w:r>
    </w:p>
    <w:p w14:paraId="5E182463">
      <w:pPr>
        <w:spacing w:before="156"/>
        <w:ind w:firstLine="480"/>
      </w:pPr>
      <w:r>
        <w:rPr>
          <w:rFonts w:hint="eastAsia"/>
        </w:rPr>
        <w:t>A.1.3 评估范围应包括锻锤基础周边50m内的敏感区域（如办公区、住宅区、精密仪器车间等），必要时可扩大至500m。</w:t>
      </w:r>
    </w:p>
    <w:p w14:paraId="5E2B91B6">
      <w:pPr>
        <w:spacing w:before="156"/>
        <w:ind w:firstLine="480"/>
      </w:pPr>
      <w:r>
        <w:rPr>
          <w:rFonts w:hint="eastAsia"/>
        </w:rPr>
        <w:t>A.1.4　振动传播评估应包含振源特性分析、场地振动传播与衰减特性分析、评估对象振动响应分析以及评估结论与建议。</w:t>
      </w:r>
    </w:p>
    <w:p w14:paraId="308C3AE4">
      <w:pPr>
        <w:spacing w:before="156"/>
        <w:ind w:firstLine="480"/>
      </w:pPr>
      <w:r>
        <w:rPr>
          <w:rFonts w:hint="eastAsia"/>
        </w:rPr>
        <w:t>A.1.5　振动传播评估时，应取得锻锤振源参数与概况、评估对象信息、传播路径场地特性与空间位置关系。</w:t>
      </w:r>
    </w:p>
    <w:p w14:paraId="016415C3">
      <w:pPr>
        <w:spacing w:before="156"/>
        <w:ind w:firstLine="480"/>
      </w:pPr>
      <w:r>
        <w:rPr>
          <w:rFonts w:hint="eastAsia"/>
        </w:rPr>
        <w:t>A.1.6　在设计阶段，当锻锤</w:t>
      </w:r>
      <w:r>
        <w:rPr>
          <w:rFonts w:hint="eastAsia" w:cs="Times New Roman"/>
          <w:szCs w:val="24"/>
        </w:rPr>
        <w:t>基础振动作为场地的主要振源时，应对振动沿地基传播振动进行分析与评估，提出厂区内的振动区划条件。当场地内的防振对象不满足容许振动要求时，需对改进厂区规划布置，调整锻锤与振敏对象的防振距离，或改进基础隔振方案使之满足容许振动标准的要求</w:t>
      </w:r>
      <w:r>
        <w:rPr>
          <w:rFonts w:hint="eastAsia"/>
        </w:rPr>
        <w:t>。</w:t>
      </w:r>
    </w:p>
    <w:p w14:paraId="3031A5C8">
      <w:pPr>
        <w:spacing w:before="156"/>
        <w:ind w:firstLine="480"/>
        <w:rPr>
          <w:rFonts w:cs="Times New Roman"/>
          <w:szCs w:val="24"/>
        </w:rPr>
      </w:pPr>
      <w:r>
        <w:rPr>
          <w:rFonts w:hint="eastAsia"/>
        </w:rPr>
        <w:t>A.1.7　</w:t>
      </w:r>
      <w:r>
        <w:rPr>
          <w:rFonts w:hint="eastAsia" w:cs="Times New Roman"/>
          <w:szCs w:val="24"/>
        </w:rPr>
        <w:t>关于振动对周边场地影响的评估，应根据工程建设阶段的不同，采用相应的分析方法，包括</w:t>
      </w:r>
      <w:r>
        <w:rPr>
          <w:rFonts w:hint="eastAsia"/>
        </w:rPr>
        <w:t>现场实测</w:t>
      </w:r>
      <w:r>
        <w:rPr>
          <w:rFonts w:hint="eastAsia" w:cs="Times New Roman"/>
          <w:szCs w:val="24"/>
        </w:rPr>
        <w:t>法、经验公式法、数值分析法和数据表格法等。这些方法使用场景应符合下表的要求。</w:t>
      </w:r>
    </w:p>
    <w:p w14:paraId="7BB1B82E">
      <w:pPr>
        <w:spacing w:before="156"/>
        <w:ind w:firstLine="480"/>
        <w:jc w:val="center"/>
        <w:rPr>
          <w:rFonts w:cs="Times New Roman"/>
          <w:szCs w:val="24"/>
        </w:rPr>
      </w:pPr>
      <w:r>
        <w:rPr>
          <w:rFonts w:hint="eastAsia" w:cs="Times New Roman"/>
          <w:szCs w:val="24"/>
        </w:rPr>
        <w:t>表A1.7</w:t>
      </w:r>
      <w:r>
        <w:rPr>
          <w:rFonts w:cs="Times New Roman"/>
          <w:szCs w:val="24"/>
        </w:rPr>
        <w:t xml:space="preserve"> </w:t>
      </w:r>
      <w:r>
        <w:rPr>
          <w:rFonts w:hint="eastAsia" w:cs="Times New Roman"/>
          <w:szCs w:val="24"/>
        </w:rPr>
        <w:t>锻锤基础地面振动传播评估</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0"/>
        <w:gridCol w:w="1659"/>
        <w:gridCol w:w="1659"/>
        <w:gridCol w:w="1659"/>
        <w:gridCol w:w="1659"/>
      </w:tblGrid>
      <w:tr w14:paraId="52F78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tcPr>
          <w:p w14:paraId="6BF3A456">
            <w:pPr>
              <w:pStyle w:val="39"/>
            </w:pPr>
            <w:r>
              <w:rPr>
                <w:rFonts w:hint="eastAsia"/>
              </w:rPr>
              <w:t>适用阶段</w:t>
            </w:r>
          </w:p>
        </w:tc>
        <w:tc>
          <w:tcPr>
            <w:tcW w:w="1659" w:type="dxa"/>
          </w:tcPr>
          <w:p w14:paraId="7CF4592C">
            <w:pPr>
              <w:pStyle w:val="39"/>
            </w:pPr>
            <w:r>
              <w:rPr>
                <w:rFonts w:hint="eastAsia"/>
              </w:rPr>
              <w:t>前期规划</w:t>
            </w:r>
          </w:p>
        </w:tc>
        <w:tc>
          <w:tcPr>
            <w:tcW w:w="1659" w:type="dxa"/>
          </w:tcPr>
          <w:p w14:paraId="450DD669">
            <w:pPr>
              <w:pStyle w:val="39"/>
            </w:pPr>
            <w:r>
              <w:rPr>
                <w:rFonts w:hint="eastAsia"/>
              </w:rPr>
              <w:t>工程设计</w:t>
            </w:r>
          </w:p>
        </w:tc>
        <w:tc>
          <w:tcPr>
            <w:tcW w:w="1659" w:type="dxa"/>
          </w:tcPr>
          <w:p w14:paraId="3EE74380">
            <w:pPr>
              <w:pStyle w:val="39"/>
            </w:pPr>
            <w:r>
              <w:rPr>
                <w:rFonts w:hint="eastAsia"/>
              </w:rPr>
              <w:t>后期工程</w:t>
            </w:r>
          </w:p>
        </w:tc>
        <w:tc>
          <w:tcPr>
            <w:tcW w:w="1659" w:type="dxa"/>
          </w:tcPr>
          <w:p w14:paraId="491558AC">
            <w:pPr>
              <w:pStyle w:val="39"/>
            </w:pPr>
            <w:r>
              <w:rPr>
                <w:rFonts w:hint="eastAsia"/>
              </w:rPr>
              <w:t>说明</w:t>
            </w:r>
          </w:p>
        </w:tc>
      </w:tr>
      <w:tr w14:paraId="64BC7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tcPr>
          <w:p w14:paraId="7D6DD2E9">
            <w:pPr>
              <w:pStyle w:val="39"/>
            </w:pPr>
            <w:r>
              <w:rPr>
                <w:rFonts w:hint="eastAsia"/>
              </w:rPr>
              <w:t>经验公式</w:t>
            </w:r>
          </w:p>
        </w:tc>
        <w:tc>
          <w:tcPr>
            <w:tcW w:w="1659" w:type="dxa"/>
          </w:tcPr>
          <w:p w14:paraId="79412E40">
            <w:pPr>
              <w:pStyle w:val="39"/>
            </w:pPr>
            <w:r>
              <w:rPr>
                <w:rFonts w:hint="eastAsia"/>
              </w:rPr>
              <w:t>○</w:t>
            </w:r>
          </w:p>
        </w:tc>
        <w:tc>
          <w:tcPr>
            <w:tcW w:w="1659" w:type="dxa"/>
          </w:tcPr>
          <w:p w14:paraId="549845F5">
            <w:pPr>
              <w:pStyle w:val="39"/>
            </w:pPr>
            <w:r>
              <w:rPr>
                <w:rFonts w:hint="eastAsia"/>
              </w:rPr>
              <w:t>√</w:t>
            </w:r>
          </w:p>
        </w:tc>
        <w:tc>
          <w:tcPr>
            <w:tcW w:w="1659" w:type="dxa"/>
          </w:tcPr>
          <w:p w14:paraId="70C0B9D1">
            <w:pPr>
              <w:pStyle w:val="39"/>
            </w:pPr>
            <w:r>
              <w:rPr>
                <w:rFonts w:hint="eastAsia"/>
              </w:rPr>
              <w:t>○</w:t>
            </w:r>
          </w:p>
        </w:tc>
        <w:tc>
          <w:tcPr>
            <w:tcW w:w="1659" w:type="dxa"/>
          </w:tcPr>
          <w:p w14:paraId="2CA583C2">
            <w:pPr>
              <w:pStyle w:val="39"/>
            </w:pPr>
          </w:p>
        </w:tc>
      </w:tr>
      <w:tr w14:paraId="39DAD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tcPr>
          <w:p w14:paraId="7687AC2E">
            <w:pPr>
              <w:pStyle w:val="39"/>
            </w:pPr>
            <w:r>
              <w:rPr>
                <w:rFonts w:hint="eastAsia"/>
              </w:rPr>
              <w:t>数值分析</w:t>
            </w:r>
          </w:p>
        </w:tc>
        <w:tc>
          <w:tcPr>
            <w:tcW w:w="1659" w:type="dxa"/>
          </w:tcPr>
          <w:p w14:paraId="4DE56170">
            <w:pPr>
              <w:pStyle w:val="39"/>
            </w:pPr>
            <w:r>
              <w:rPr>
                <w:rFonts w:hint="eastAsia"/>
              </w:rPr>
              <w:t>○</w:t>
            </w:r>
          </w:p>
        </w:tc>
        <w:tc>
          <w:tcPr>
            <w:tcW w:w="1659" w:type="dxa"/>
          </w:tcPr>
          <w:p w14:paraId="73D7E1EC">
            <w:pPr>
              <w:pStyle w:val="39"/>
            </w:pPr>
            <w:r>
              <w:rPr>
                <w:rFonts w:hint="eastAsia"/>
              </w:rPr>
              <w:t>√</w:t>
            </w:r>
          </w:p>
        </w:tc>
        <w:tc>
          <w:tcPr>
            <w:tcW w:w="1659" w:type="dxa"/>
          </w:tcPr>
          <w:p w14:paraId="3C030B94">
            <w:pPr>
              <w:pStyle w:val="39"/>
            </w:pPr>
            <w:r>
              <w:rPr>
                <w:rFonts w:hint="eastAsia"/>
              </w:rPr>
              <w:t>○</w:t>
            </w:r>
          </w:p>
        </w:tc>
        <w:tc>
          <w:tcPr>
            <w:tcW w:w="1659" w:type="dxa"/>
          </w:tcPr>
          <w:p w14:paraId="5BDFF585">
            <w:pPr>
              <w:pStyle w:val="39"/>
            </w:pPr>
          </w:p>
        </w:tc>
      </w:tr>
      <w:tr w14:paraId="361F8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tcPr>
          <w:p w14:paraId="2CD32572">
            <w:pPr>
              <w:pStyle w:val="39"/>
            </w:pPr>
            <w:r>
              <w:rPr>
                <w:rFonts w:hint="eastAsia"/>
              </w:rPr>
              <w:t>数据表格</w:t>
            </w:r>
          </w:p>
        </w:tc>
        <w:tc>
          <w:tcPr>
            <w:tcW w:w="1659" w:type="dxa"/>
          </w:tcPr>
          <w:p w14:paraId="3B5061E7">
            <w:pPr>
              <w:pStyle w:val="39"/>
            </w:pPr>
            <w:r>
              <w:rPr>
                <w:rFonts w:hint="eastAsia"/>
              </w:rPr>
              <w:t>√</w:t>
            </w:r>
          </w:p>
        </w:tc>
        <w:tc>
          <w:tcPr>
            <w:tcW w:w="1659" w:type="dxa"/>
          </w:tcPr>
          <w:p w14:paraId="15C8AC71">
            <w:pPr>
              <w:pStyle w:val="39"/>
            </w:pPr>
            <w:r>
              <w:rPr>
                <w:rFonts w:hint="eastAsia"/>
              </w:rPr>
              <w:t>○</w:t>
            </w:r>
          </w:p>
        </w:tc>
        <w:tc>
          <w:tcPr>
            <w:tcW w:w="1659" w:type="dxa"/>
          </w:tcPr>
          <w:p w14:paraId="4E8C3681">
            <w:pPr>
              <w:pStyle w:val="39"/>
            </w:pPr>
            <w:r>
              <w:rPr>
                <w:rFonts w:hint="eastAsia"/>
              </w:rPr>
              <w:t>×</w:t>
            </w:r>
          </w:p>
        </w:tc>
        <w:tc>
          <w:tcPr>
            <w:tcW w:w="1659" w:type="dxa"/>
          </w:tcPr>
          <w:p w14:paraId="7413C954">
            <w:pPr>
              <w:pStyle w:val="39"/>
            </w:pPr>
          </w:p>
        </w:tc>
      </w:tr>
      <w:tr w14:paraId="40662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tcPr>
          <w:p w14:paraId="736C8D32">
            <w:pPr>
              <w:pStyle w:val="39"/>
            </w:pPr>
            <w:r>
              <w:rPr>
                <w:rFonts w:hint="eastAsia"/>
              </w:rPr>
              <w:t>现场实测</w:t>
            </w:r>
          </w:p>
        </w:tc>
        <w:tc>
          <w:tcPr>
            <w:tcW w:w="1659" w:type="dxa"/>
          </w:tcPr>
          <w:p w14:paraId="2671A1DD">
            <w:pPr>
              <w:pStyle w:val="39"/>
            </w:pPr>
            <w:r>
              <w:rPr>
                <w:rFonts w:hint="eastAsia"/>
              </w:rPr>
              <w:t>×</w:t>
            </w:r>
          </w:p>
        </w:tc>
        <w:tc>
          <w:tcPr>
            <w:tcW w:w="1659" w:type="dxa"/>
          </w:tcPr>
          <w:p w14:paraId="705B67EF">
            <w:pPr>
              <w:pStyle w:val="39"/>
            </w:pPr>
            <w:r>
              <w:rPr>
                <w:rFonts w:hint="eastAsia"/>
              </w:rPr>
              <w:t>×</w:t>
            </w:r>
          </w:p>
        </w:tc>
        <w:tc>
          <w:tcPr>
            <w:tcW w:w="1659" w:type="dxa"/>
          </w:tcPr>
          <w:p w14:paraId="7DAF350E">
            <w:pPr>
              <w:pStyle w:val="39"/>
            </w:pPr>
            <w:r>
              <w:rPr>
                <w:rFonts w:hint="eastAsia"/>
              </w:rPr>
              <w:t>√</w:t>
            </w:r>
          </w:p>
        </w:tc>
        <w:tc>
          <w:tcPr>
            <w:tcW w:w="1659" w:type="dxa"/>
          </w:tcPr>
          <w:p w14:paraId="45935664">
            <w:pPr>
              <w:pStyle w:val="39"/>
            </w:pPr>
            <w:r>
              <w:rPr>
                <w:rFonts w:hint="eastAsia"/>
              </w:rPr>
              <w:t>见第5章</w:t>
            </w:r>
          </w:p>
        </w:tc>
      </w:tr>
      <w:tr w14:paraId="3FD5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tcPr>
          <w:p w14:paraId="291A7089">
            <w:pPr>
              <w:pStyle w:val="39"/>
            </w:pPr>
            <w:r>
              <w:rPr>
                <w:rFonts w:hint="eastAsia"/>
              </w:rPr>
              <w:t>注</w:t>
            </w:r>
          </w:p>
        </w:tc>
        <w:tc>
          <w:tcPr>
            <w:tcW w:w="6636" w:type="dxa"/>
            <w:gridSpan w:val="4"/>
          </w:tcPr>
          <w:p w14:paraId="765BEE64">
            <w:pPr>
              <w:pStyle w:val="39"/>
            </w:pPr>
            <w:r>
              <w:rPr>
                <w:rFonts w:hint="eastAsia"/>
              </w:rPr>
              <w:t>表中：√表示适用，○表示可使用，×表示不适用。</w:t>
            </w:r>
          </w:p>
        </w:tc>
      </w:tr>
    </w:tbl>
    <w:p w14:paraId="5F38DE7A">
      <w:pPr>
        <w:pStyle w:val="4"/>
        <w:spacing w:before="156"/>
      </w:pPr>
      <w:bookmarkStart w:id="13" w:name="_Toc206578611"/>
      <w:r>
        <w:rPr>
          <w:rFonts w:hint="eastAsia"/>
        </w:rPr>
        <w:t>A.2 振动传播分析</w:t>
      </w:r>
      <w:bookmarkEnd w:id="13"/>
      <w:r>
        <w:rPr>
          <w:rFonts w:hint="eastAsia"/>
        </w:rPr>
        <w:t xml:space="preserve"> </w:t>
      </w:r>
    </w:p>
    <w:p w14:paraId="23BBD978">
      <w:pPr>
        <w:spacing w:before="156"/>
        <w:ind w:firstLine="480"/>
      </w:pPr>
      <w:r>
        <w:t>A</w:t>
      </w:r>
      <w:r>
        <w:rPr>
          <w:rFonts w:hint="eastAsia"/>
        </w:rPr>
        <w:t>.2.1 振动在土体中的传播宜采用弹性半空间理论或分层土模型，考虑土体阻尼和波速的影响。振动传播分析宜根据不同工程建设阶段，对照表</w:t>
      </w:r>
      <w:r>
        <w:t>A.1.7</w:t>
      </w:r>
      <w:r>
        <w:rPr>
          <w:rFonts w:hint="eastAsia"/>
        </w:rPr>
        <w:t>提供的适用性条件，分别采用现场实测法、经验公式法、数值分析法或数据表格法。</w:t>
      </w:r>
    </w:p>
    <w:p w14:paraId="3C358635">
      <w:pPr>
        <w:spacing w:before="156"/>
        <w:ind w:firstLine="480"/>
      </w:pPr>
      <w:r>
        <w:t>A</w:t>
      </w:r>
      <w:r>
        <w:rPr>
          <w:rFonts w:hint="eastAsia"/>
        </w:rPr>
        <w:t>.2.2 当缺乏详细地质资料时，宜按经验公式法分析锻锤基础振动传播。计算步骤如下：</w:t>
      </w:r>
    </w:p>
    <w:p w14:paraId="7892A0B0">
      <w:pPr>
        <w:spacing w:before="156"/>
        <w:ind w:firstLine="480"/>
      </w:pPr>
      <w:r>
        <w:rPr>
          <w:rFonts w:hint="eastAsia"/>
        </w:rPr>
        <w:t xml:space="preserve">1锻锤基础竖向或水平向振动传播衰减计算可按下式进行：  </w:t>
      </w:r>
    </w:p>
    <w:p w14:paraId="2C2B86CF">
      <w:pPr>
        <w:spacing w:before="156"/>
        <w:ind w:firstLine="480"/>
        <w:jc w:val="right"/>
      </w:pPr>
      <m:oMath>
        <m:sSub>
          <m:sSubPr>
            <m:ctrlPr>
              <w:rPr>
                <w:rFonts w:ascii="Cambria Math" w:hAnsi="Cambria Math"/>
              </w:rPr>
            </m:ctrlPr>
          </m:sSubPr>
          <m:e>
            <m:r>
              <m:rPr/>
              <w:rPr>
                <w:rFonts w:ascii="Cambria Math" w:hAnsi="Cambria Math"/>
              </w:rPr>
              <m:t>v</m:t>
            </m:r>
            <m:ctrlPr>
              <w:rPr>
                <w:rFonts w:ascii="Cambria Math" w:hAnsi="Cambria Math"/>
              </w:rPr>
            </m:ctrlPr>
          </m:e>
          <m:sub>
            <m:r>
              <m:rPr/>
              <w:rPr>
                <w:rFonts w:ascii="Cambria Math" w:hAnsi="Cambria Math"/>
              </w:rPr>
              <m:t>r</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v</m:t>
            </m:r>
            <m:ctrlPr>
              <w:rPr>
                <w:rFonts w:ascii="Cambria Math" w:hAnsi="Cambria Math"/>
              </w:rPr>
            </m:ctrlPr>
          </m:e>
          <m:sub>
            <m:r>
              <m:rPr>
                <m:sty m:val="p"/>
              </m:rPr>
              <w:rPr>
                <w:rFonts w:ascii="Cambria Math" w:hAnsi="Cambria Math"/>
              </w:rPr>
              <m:t>0</m:t>
            </m:r>
            <m:ctrlPr>
              <w:rPr>
                <w:rFonts w:ascii="Cambria Math" w:hAnsi="Cambria Math"/>
              </w:rPr>
            </m:ctrlPr>
          </m:sub>
        </m:sSub>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sSub>
                  <m:sSubPr>
                    <m:ctrlPr>
                      <w:rPr>
                        <w:rFonts w:ascii="Cambria Math" w:hAnsi="Cambria Math"/>
                      </w:rPr>
                    </m:ctrlPr>
                  </m:sSubPr>
                  <m:e>
                    <m:r>
                      <m:rPr/>
                      <w:rPr>
                        <w:rFonts w:ascii="Cambria Math" w:hAnsi="Cambria Math"/>
                      </w:rPr>
                      <m:t>r</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num>
              <m:den>
                <m:r>
                  <m:rPr/>
                  <w:rPr>
                    <w:rFonts w:ascii="Cambria Math" w:hAnsi="Cambria Math"/>
                  </w:rPr>
                  <m:t>r</m:t>
                </m:r>
                <m:r>
                  <m:rPr>
                    <m:sty m:val="p"/>
                  </m:rPr>
                  <w:rPr>
                    <w:rFonts w:ascii="Cambria Math" w:hAnsi="Cambria Math"/>
                  </w:rPr>
                  <m:t>+</m:t>
                </m:r>
                <m:sSub>
                  <m:sSubPr>
                    <m:ctrlPr>
                      <w:rPr>
                        <w:rFonts w:ascii="Cambria Math" w:hAnsi="Cambria Math"/>
                      </w:rPr>
                    </m:ctrlPr>
                  </m:sSubPr>
                  <m:e>
                    <m:r>
                      <m:rPr/>
                      <w:rPr>
                        <w:rFonts w:ascii="Cambria Math" w:hAnsi="Cambria Math"/>
                      </w:rPr>
                      <m:t>r</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d>
              <m:dPr>
                <m:begChr m:val="["/>
                <m:endChr m:val="]"/>
                <m:ctrlPr>
                  <w:rPr>
                    <w:rFonts w:ascii="Cambria Math" w:hAnsi="Cambria Math"/>
                  </w:rPr>
                </m:ctrlPr>
              </m:dPr>
              <m:e>
                <m:r>
                  <m:rPr>
                    <m:sty m:val="p"/>
                  </m:rPr>
                  <w:rPr>
                    <w:rFonts w:ascii="Cambria Math" w:hAnsi="Cambria Math"/>
                  </w:rPr>
                  <m:t>1−</m:t>
                </m:r>
                <m:sSub>
                  <m:sSubPr>
                    <m:ctrlPr>
                      <w:rPr>
                        <w:rFonts w:ascii="Cambria Math" w:hAnsi="Cambria Math"/>
                      </w:rPr>
                    </m:ctrlPr>
                  </m:sSubPr>
                  <m:e>
                    <m:r>
                      <m:rPr/>
                      <w:rPr>
                        <w:rFonts w:ascii="Cambria Math" w:hAnsi="Cambria Math"/>
                      </w:rPr>
                      <m:t>ζ</m:t>
                    </m:r>
                    <m:ctrlPr>
                      <w:rPr>
                        <w:rFonts w:ascii="Cambria Math" w:hAnsi="Cambria Math"/>
                      </w:rPr>
                    </m:ctrlPr>
                  </m:e>
                  <m:sub>
                    <m:r>
                      <m:rPr>
                        <m:sty m:val="p"/>
                      </m:rPr>
                      <w:rPr>
                        <w:rFonts w:ascii="Cambria Math" w:hAnsi="Cambria Math"/>
                      </w:rPr>
                      <m:t>0</m:t>
                    </m:r>
                    <m:ctrlPr>
                      <w:rPr>
                        <w:rFonts w:ascii="Cambria Math" w:hAnsi="Cambria Math"/>
                      </w:rPr>
                    </m:ctrlPr>
                  </m:sub>
                </m:sSub>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m:rPr/>
                              <w:rPr>
                                <w:rFonts w:ascii="Cambria Math" w:hAnsi="Cambria Math"/>
                              </w:rPr>
                              <m:t>r</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num>
                      <m:den>
                        <m:r>
                          <m:rPr/>
                          <w:rPr>
                            <w:rFonts w:ascii="Cambria Math" w:hAnsi="Cambria Math"/>
                          </w:rPr>
                          <m:t>r</m:t>
                        </m:r>
                        <m:r>
                          <m:rPr>
                            <m:sty m:val="p"/>
                          </m:rPr>
                          <w:rPr>
                            <w:rFonts w:ascii="Cambria Math" w:hAnsi="Cambria Math"/>
                          </w:rPr>
                          <m:t>+</m:t>
                        </m:r>
                        <m:sSub>
                          <m:sSubPr>
                            <m:ctrlPr>
                              <w:rPr>
                                <w:rFonts w:ascii="Cambria Math" w:hAnsi="Cambria Math"/>
                              </w:rPr>
                            </m:ctrlPr>
                          </m:sSubPr>
                          <m:e>
                            <m:r>
                              <m:rPr/>
                              <w:rPr>
                                <w:rFonts w:ascii="Cambria Math" w:hAnsi="Cambria Math"/>
                              </w:rPr>
                              <m:t>r</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ctrlPr>
                      <w:rPr>
                        <w:rFonts w:ascii="Cambria Math" w:hAnsi="Cambria Math"/>
                      </w:rPr>
                    </m:ctrlPr>
                  </m:e>
                </m:d>
                <m:ctrlPr>
                  <w:rPr>
                    <w:rFonts w:ascii="Cambria Math" w:hAnsi="Cambria Math"/>
                  </w:rPr>
                </m:ctrlPr>
              </m:e>
            </m:d>
            <m:ctrlPr>
              <w:rPr>
                <w:rFonts w:ascii="Cambria Math" w:hAnsi="Cambria Math"/>
              </w:rPr>
            </m:ctrlPr>
          </m:e>
        </m:rad>
        <m:r>
          <m:rPr>
            <m:sty m:val="p"/>
          </m:rPr>
          <w:rPr>
            <w:rFonts w:ascii="Cambria Math" w:hAnsi="Cambria Math"/>
          </w:rPr>
          <m:t>exp⁡</m:t>
        </m:r>
        <m:d>
          <m:dPr>
            <m:ctrlPr>
              <w:rPr>
                <w:rFonts w:ascii="Cambria Math" w:hAnsi="Cambria Math"/>
              </w:rPr>
            </m:ctrlPr>
          </m:dPr>
          <m:e>
            <m:r>
              <m:rPr>
                <m:sty m:val="p"/>
              </m:rPr>
              <w:rPr>
                <w:rFonts w:ascii="Cambria Math" w:hAnsi="Cambria Math"/>
              </w:rPr>
              <m:t>−</m:t>
            </m:r>
            <m:sSub>
              <m:sSubPr>
                <m:ctrlPr>
                  <w:rPr>
                    <w:rFonts w:ascii="Cambria Math" w:hAnsi="Cambria Math"/>
                  </w:rPr>
                </m:ctrlPr>
              </m:sSubPr>
              <m:e>
                <m:r>
                  <m:rPr/>
                  <w:rPr>
                    <w:rFonts w:ascii="Cambria Math" w:hAnsi="Cambria Math"/>
                  </w:rPr>
                  <m:t>α</m:t>
                </m:r>
                <m:ctrlPr>
                  <w:rPr>
                    <w:rFonts w:ascii="Cambria Math" w:hAnsi="Cambria Math"/>
                  </w:rPr>
                </m:ctrlPr>
              </m:e>
              <m:sub>
                <m:r>
                  <m:rPr>
                    <m:sty m:val="p"/>
                  </m:rPr>
                  <w:rPr>
                    <w:rFonts w:ascii="Cambria Math" w:hAnsi="Cambria Math"/>
                  </w:rPr>
                  <m:t>0</m:t>
                </m:r>
                <m:ctrlPr>
                  <w:rPr>
                    <w:rFonts w:ascii="Cambria Math" w:hAnsi="Cambria Math"/>
                  </w:rPr>
                </m:ctrlPr>
              </m:sub>
            </m:sSub>
            <m:sSub>
              <m:sSubPr>
                <m:ctrlPr>
                  <w:rPr>
                    <w:rFonts w:ascii="Cambria Math" w:hAnsi="Cambria Math"/>
                  </w:rPr>
                </m:ctrlPr>
              </m:sSubPr>
              <m:e>
                <m:r>
                  <m:rPr/>
                  <w:rPr>
                    <w:rFonts w:ascii="Cambria Math" w:hAnsi="Cambria Math"/>
                  </w:rPr>
                  <m:t>f</m:t>
                </m:r>
                <m:ctrlPr>
                  <w:rPr>
                    <w:rFonts w:ascii="Cambria Math" w:hAnsi="Cambria Math"/>
                  </w:rPr>
                </m:ctrlPr>
              </m:e>
              <m:sub>
                <m:r>
                  <m:rPr>
                    <m:sty m:val="p"/>
                  </m:rPr>
                  <w:rPr>
                    <w:rFonts w:ascii="Cambria Math" w:hAnsi="Cambria Math"/>
                  </w:rPr>
                  <m:t>0</m:t>
                </m:r>
                <m:ctrlPr>
                  <w:rPr>
                    <w:rFonts w:ascii="Cambria Math" w:hAnsi="Cambria Math"/>
                  </w:rPr>
                </m:ctrlPr>
              </m:sub>
            </m:sSub>
            <m:r>
              <m:rPr/>
              <w:rPr>
                <w:rFonts w:ascii="Cambria Math" w:hAnsi="Cambria Math"/>
              </w:rPr>
              <m:t>r</m:t>
            </m:r>
            <m:ctrlPr>
              <w:rPr>
                <w:rFonts w:ascii="Cambria Math" w:hAnsi="Cambria Math"/>
              </w:rPr>
            </m:ctrlPr>
          </m:e>
        </m:d>
      </m:oMath>
      <w:r>
        <w:rPr>
          <w:rFonts w:hint="eastAsia"/>
        </w:rPr>
        <w:t xml:space="preserve"> </w:t>
      </w:r>
      <w:r>
        <w:t xml:space="preserve">   </w:t>
      </w:r>
      <w:r>
        <w:rPr>
          <w:rFonts w:hint="eastAsia"/>
        </w:rPr>
        <w:t>（</w:t>
      </w:r>
      <w:r>
        <w:t>A.2.2</w:t>
      </w:r>
      <w:r>
        <w:rPr>
          <w:rFonts w:hint="eastAsia"/>
        </w:rPr>
        <w:t>-1）</w:t>
      </w:r>
    </w:p>
    <w:p w14:paraId="1CDF8B3E">
      <w:pPr>
        <w:spacing w:before="156"/>
        <w:ind w:firstLine="480"/>
        <w:rPr>
          <w:rFonts w:cs="Times New Roman"/>
          <w:szCs w:val="24"/>
        </w:rPr>
      </w:pPr>
      <w:r>
        <w:rPr>
          <w:rFonts w:hint="eastAsia"/>
        </w:rPr>
        <w:t>式中：</w:t>
      </w:r>
      <m:oMath>
        <m:sSub>
          <m:sSubPr>
            <m:ctrlPr>
              <w:rPr>
                <w:rFonts w:ascii="Cambria Math" w:hAnsi="Cambria Math" w:cs="Times New Roman"/>
                <w:szCs w:val="24"/>
              </w:rPr>
            </m:ctrlPr>
          </m:sSubPr>
          <m:e>
            <m:r>
              <m:rPr/>
              <w:rPr>
                <w:rFonts w:ascii="Cambria Math" w:hAnsi="Cambria Math" w:cs="Times New Roman"/>
                <w:szCs w:val="24"/>
              </w:rPr>
              <m:t>v</m:t>
            </m:r>
            <m:ctrlPr>
              <w:rPr>
                <w:rFonts w:ascii="Cambria Math" w:hAnsi="Cambria Math" w:cs="Times New Roman"/>
                <w:szCs w:val="24"/>
              </w:rPr>
            </m:ctrlPr>
          </m:e>
          <m:sub>
            <m:r>
              <m:rPr/>
              <w:rPr>
                <w:rFonts w:ascii="Cambria Math" w:hAnsi="Cambria Math" w:cs="Times New Roman"/>
                <w:szCs w:val="24"/>
              </w:rPr>
              <m:t>r</m:t>
            </m:r>
            <m:ctrlPr>
              <w:rPr>
                <w:rFonts w:ascii="Cambria Math" w:hAnsi="Cambria Math" w:cs="Times New Roman"/>
                <w:szCs w:val="24"/>
              </w:rPr>
            </m:ctrlPr>
          </m:sub>
        </m:sSub>
      </m:oMath>
      <w:r>
        <w:rPr>
          <w:rFonts w:cs="Times New Roman"/>
          <w:szCs w:val="24"/>
        </w:rPr>
        <w:t>——</w:t>
      </w:r>
      <w:r>
        <w:rPr>
          <w:rFonts w:hint="eastAsia" w:cs="Times New Roman"/>
          <w:szCs w:val="24"/>
        </w:rPr>
        <w:t>距离基础边缘</w:t>
      </w:r>
      <m:oMath>
        <m:r>
          <m:rPr/>
          <w:rPr>
            <w:rFonts w:ascii="Cambria Math" w:hAnsi="Cambria Math" w:cs="Times New Roman"/>
            <w:szCs w:val="24"/>
          </w:rPr>
          <m:t>r</m:t>
        </m:r>
      </m:oMath>
      <w:r>
        <w:rPr>
          <w:rFonts w:hint="eastAsia" w:cs="Times New Roman"/>
          <w:szCs w:val="24"/>
        </w:rPr>
        <w:t>处的地面振动速度</w:t>
      </w:r>
      <m:oMath>
        <m:d>
          <m:dPr>
            <m:ctrlPr>
              <w:rPr>
                <w:rFonts w:ascii="Cambria Math" w:hAnsi="Cambria Math" w:cs="Times New Roman"/>
                <w:szCs w:val="24"/>
              </w:rPr>
            </m:ctrlPr>
          </m:dPr>
          <m:e>
            <m:r>
              <m:rPr>
                <m:sty m:val="p"/>
              </m:rPr>
              <w:rPr>
                <w:rFonts w:hint="eastAsia" w:ascii="Cambria Math" w:hAnsi="Cambria Math" w:cs="Times New Roman"/>
                <w:szCs w:val="24"/>
              </w:rPr>
              <m:t>mm</m:t>
            </m:r>
            <m:r>
              <m:rPr>
                <m:sty m:val="p"/>
              </m:rPr>
              <w:rPr>
                <w:rFonts w:ascii="Cambria Math" w:hAnsi="Cambria Math" w:cs="Times New Roman"/>
                <w:szCs w:val="24"/>
              </w:rPr>
              <m:t>/s</m:t>
            </m:r>
            <m:ctrlPr>
              <w:rPr>
                <w:rFonts w:ascii="Cambria Math" w:hAnsi="Cambria Math" w:cs="Times New Roman"/>
                <w:szCs w:val="24"/>
              </w:rPr>
            </m:ctrlPr>
          </m:e>
        </m:d>
      </m:oMath>
      <w:r>
        <w:rPr>
          <w:rFonts w:hint="eastAsia" w:cs="Times New Roman"/>
          <w:szCs w:val="24"/>
        </w:rPr>
        <w:t>；</w:t>
      </w:r>
    </w:p>
    <w:p w14:paraId="46ED8D69">
      <w:pPr>
        <w:spacing w:before="156"/>
        <w:ind w:firstLine="480"/>
        <w:rPr>
          <w:rFonts w:cs="Times New Roman"/>
          <w:szCs w:val="24"/>
        </w:rPr>
      </w:pPr>
      <w:r>
        <w:rPr>
          <w:rFonts w:cs="Times New Roman"/>
          <w:szCs w:val="24"/>
        </w:rPr>
        <w:tab/>
      </w:r>
      <m:oMath>
        <m:sSub>
          <m:sSubPr>
            <m:ctrlPr>
              <w:rPr>
                <w:rFonts w:ascii="Cambria Math" w:hAnsi="Cambria Math" w:cs="Times New Roman"/>
                <w:i/>
                <w:szCs w:val="24"/>
              </w:rPr>
            </m:ctrlPr>
          </m:sSubPr>
          <m:e>
            <m:r>
              <m:rPr/>
              <w:rPr>
                <w:rFonts w:ascii="Cambria Math" w:hAnsi="Cambria Math" w:cs="Times New Roman"/>
                <w:szCs w:val="24"/>
              </w:rPr>
              <m:t>v</m:t>
            </m:r>
            <m:ctrlPr>
              <w:rPr>
                <w:rFonts w:ascii="Cambria Math" w:hAnsi="Cambria Math" w:cs="Times New Roman"/>
                <w:i/>
                <w:szCs w:val="24"/>
              </w:rPr>
            </m:ctrlPr>
          </m:e>
          <m:sub>
            <m:r>
              <m:rPr/>
              <w:rPr>
                <w:rFonts w:ascii="Cambria Math" w:hAnsi="Cambria Math" w:cs="Times New Roman"/>
                <w:szCs w:val="24"/>
              </w:rPr>
              <m:t>0</m:t>
            </m:r>
            <m:ctrlPr>
              <w:rPr>
                <w:rFonts w:ascii="Cambria Math" w:hAnsi="Cambria Math" w:cs="Times New Roman"/>
                <w:i/>
                <w:szCs w:val="24"/>
              </w:rPr>
            </m:ctrlPr>
          </m:sub>
        </m:sSub>
      </m:oMath>
      <w:r>
        <w:rPr>
          <w:rFonts w:cs="Times New Roman"/>
          <w:szCs w:val="24"/>
        </w:rPr>
        <w:t>——</w:t>
      </w:r>
      <w:r>
        <w:rPr>
          <w:rFonts w:hint="eastAsia" w:cs="Times New Roman"/>
          <w:szCs w:val="24"/>
        </w:rPr>
        <w:t>基础边缘的振动速度</w:t>
      </w:r>
      <m:oMath>
        <m:d>
          <m:dPr>
            <m:ctrlPr>
              <w:rPr>
                <w:rFonts w:ascii="Cambria Math" w:hAnsi="Cambria Math" w:cs="Times New Roman"/>
                <w:szCs w:val="24"/>
              </w:rPr>
            </m:ctrlPr>
          </m:dPr>
          <m:e>
            <m:r>
              <m:rPr>
                <m:sty m:val="p"/>
              </m:rPr>
              <w:rPr>
                <w:rFonts w:hint="eastAsia" w:ascii="Cambria Math" w:hAnsi="Cambria Math" w:cs="Times New Roman"/>
                <w:szCs w:val="24"/>
              </w:rPr>
              <m:t>mm</m:t>
            </m:r>
            <m:r>
              <m:rPr>
                <m:sty m:val="p"/>
              </m:rPr>
              <w:rPr>
                <w:rFonts w:ascii="Cambria Math" w:hAnsi="Cambria Math" w:cs="Times New Roman"/>
                <w:szCs w:val="24"/>
              </w:rPr>
              <m:t>/s</m:t>
            </m:r>
            <m:ctrlPr>
              <w:rPr>
                <w:rFonts w:ascii="Cambria Math" w:hAnsi="Cambria Math" w:cs="Times New Roman"/>
                <w:szCs w:val="24"/>
              </w:rPr>
            </m:ctrlPr>
          </m:e>
        </m:d>
      </m:oMath>
      <w:r>
        <w:rPr>
          <w:rFonts w:hint="eastAsia" w:cs="Times New Roman"/>
          <w:szCs w:val="24"/>
        </w:rPr>
        <w:t>；</w:t>
      </w:r>
    </w:p>
    <w:p w14:paraId="2256BE5A">
      <w:pPr>
        <w:spacing w:before="156"/>
        <w:ind w:firstLine="480"/>
        <w:rPr>
          <w:rFonts w:cs="Times New Roman"/>
          <w:szCs w:val="24"/>
        </w:rPr>
      </w:pPr>
      <w:r>
        <w:rPr>
          <w:rFonts w:cs="Times New Roman"/>
          <w:szCs w:val="24"/>
        </w:rPr>
        <w:tab/>
      </w:r>
      <m:oMath>
        <m:r>
          <m:rPr/>
          <w:rPr>
            <w:rFonts w:ascii="Cambria Math" w:hAnsi="Cambria Math" w:cs="Times New Roman"/>
            <w:szCs w:val="24"/>
          </w:rPr>
          <m:t>r</m:t>
        </m:r>
      </m:oMath>
      <w:r>
        <w:rPr>
          <w:rFonts w:cs="Times New Roman"/>
          <w:szCs w:val="24"/>
        </w:rPr>
        <w:t>——</w:t>
      </w:r>
      <w:r>
        <w:rPr>
          <w:rFonts w:hint="eastAsia" w:cs="Times New Roman"/>
          <w:szCs w:val="24"/>
        </w:rPr>
        <w:t>基础边缘至计算点的距离</w:t>
      </w:r>
      <m:oMath>
        <m:d>
          <m:dPr>
            <m:ctrlPr>
              <w:rPr>
                <w:rFonts w:ascii="Cambria Math" w:hAnsi="Cambria Math" w:cs="Times New Roman"/>
                <w:szCs w:val="24"/>
              </w:rPr>
            </m:ctrlPr>
          </m:dPr>
          <m:e>
            <m:r>
              <m:rPr>
                <m:sty m:val="p"/>
              </m:rPr>
              <w:rPr>
                <w:rFonts w:hint="eastAsia" w:ascii="Cambria Math" w:hAnsi="Cambria Math" w:cs="Times New Roman"/>
                <w:szCs w:val="24"/>
              </w:rPr>
              <m:t>m</m:t>
            </m:r>
            <m:ctrlPr>
              <w:rPr>
                <w:rFonts w:ascii="Cambria Math" w:hAnsi="Cambria Math" w:cs="Times New Roman"/>
                <w:szCs w:val="24"/>
              </w:rPr>
            </m:ctrlPr>
          </m:e>
        </m:d>
      </m:oMath>
      <w:r>
        <w:rPr>
          <w:rFonts w:hint="eastAsia" w:cs="Times New Roman"/>
          <w:szCs w:val="24"/>
        </w:rPr>
        <w:t>；</w:t>
      </w:r>
    </w:p>
    <w:p w14:paraId="74D147ED">
      <w:pPr>
        <w:spacing w:before="156"/>
        <w:ind w:firstLine="480"/>
        <w:rPr>
          <w:rFonts w:cs="Times New Roman"/>
          <w:szCs w:val="24"/>
        </w:rPr>
      </w:pPr>
      <w:r>
        <w:rPr>
          <w:rFonts w:cs="Times New Roman"/>
          <w:szCs w:val="24"/>
        </w:rPr>
        <w:tab/>
      </w:r>
      <m:oMath>
        <m:sSub>
          <m:sSubPr>
            <m:ctrlPr>
              <w:rPr>
                <w:rFonts w:ascii="Cambria Math" w:hAnsi="Cambria Math" w:cs="Times New Roman"/>
                <w:i/>
                <w:szCs w:val="24"/>
              </w:rPr>
            </m:ctrlPr>
          </m:sSubPr>
          <m:e>
            <m:r>
              <m:rPr/>
              <w:rPr>
                <w:rFonts w:ascii="Cambria Math" w:hAnsi="Cambria Math" w:cs="Times New Roman"/>
                <w:szCs w:val="24"/>
              </w:rPr>
              <m:t>r</m:t>
            </m:r>
            <m:ctrlPr>
              <w:rPr>
                <w:rFonts w:ascii="Cambria Math" w:hAnsi="Cambria Math" w:cs="Times New Roman"/>
                <w:i/>
                <w:szCs w:val="24"/>
              </w:rPr>
            </m:ctrlPr>
          </m:e>
          <m:sub>
            <m:r>
              <m:rPr/>
              <w:rPr>
                <w:rFonts w:ascii="Cambria Math" w:hAnsi="Cambria Math" w:cs="Times New Roman"/>
                <w:szCs w:val="24"/>
              </w:rPr>
              <m:t>0</m:t>
            </m:r>
            <m:ctrlPr>
              <w:rPr>
                <w:rFonts w:ascii="Cambria Math" w:hAnsi="Cambria Math" w:cs="Times New Roman"/>
                <w:i/>
                <w:szCs w:val="24"/>
              </w:rPr>
            </m:ctrlPr>
          </m:sub>
        </m:sSub>
      </m:oMath>
      <w:r>
        <w:rPr>
          <w:rFonts w:cs="Times New Roman"/>
          <w:szCs w:val="24"/>
        </w:rPr>
        <w:t>——</w:t>
      </w:r>
      <w:r>
        <w:rPr>
          <w:rFonts w:hint="eastAsia" w:cs="Times New Roman"/>
          <w:szCs w:val="24"/>
        </w:rPr>
        <w:t>基础等效半径</w:t>
      </w:r>
      <m:oMath>
        <m:d>
          <m:dPr>
            <m:ctrlPr>
              <w:rPr>
                <w:rFonts w:ascii="Cambria Math" w:hAnsi="Cambria Math" w:cs="Times New Roman"/>
                <w:szCs w:val="24"/>
              </w:rPr>
            </m:ctrlPr>
          </m:dPr>
          <m:e>
            <m:r>
              <m:rPr>
                <m:sty m:val="p"/>
              </m:rPr>
              <w:rPr>
                <w:rFonts w:hint="eastAsia" w:ascii="Cambria Math" w:hAnsi="Cambria Math" w:cs="Times New Roman"/>
                <w:szCs w:val="24"/>
              </w:rPr>
              <m:t>m</m:t>
            </m:r>
            <m:ctrlPr>
              <w:rPr>
                <w:rFonts w:ascii="Cambria Math" w:hAnsi="Cambria Math" w:cs="Times New Roman"/>
                <w:szCs w:val="24"/>
              </w:rPr>
            </m:ctrlPr>
          </m:e>
        </m:d>
      </m:oMath>
      <w:r>
        <w:rPr>
          <w:rFonts w:hint="eastAsia" w:cs="Times New Roman"/>
          <w:szCs w:val="24"/>
        </w:rPr>
        <w:t>；</w:t>
      </w:r>
    </w:p>
    <w:p w14:paraId="1BC14902">
      <w:pPr>
        <w:spacing w:before="156"/>
        <w:ind w:firstLine="480"/>
        <w:rPr>
          <w:rFonts w:cs="Times New Roman"/>
        </w:rPr>
      </w:pPr>
      <w:r>
        <w:rPr>
          <w:rFonts w:cs="Times New Roman"/>
        </w:rPr>
        <w:tab/>
      </w:r>
      <m:oMath>
        <m:sSub>
          <m:sSubPr>
            <m:ctrlPr>
              <w:rPr>
                <w:rFonts w:ascii="Cambria Math" w:hAnsi="Cambria Math" w:cs="Times New Roman"/>
                <w:i/>
              </w:rPr>
            </m:ctrlPr>
          </m:sSubPr>
          <m:e>
            <m:r>
              <m:rPr/>
              <w:rPr>
                <w:rFonts w:ascii="Cambria Math" w:hAnsi="Cambria Math" w:cs="Times New Roman"/>
              </w:rPr>
              <m:t>ζ</m:t>
            </m:r>
            <m:ctrlPr>
              <w:rPr>
                <w:rFonts w:ascii="Cambria Math" w:hAnsi="Cambria Math" w:cs="Times New Roman"/>
                <w:i/>
              </w:rPr>
            </m:ctrlPr>
          </m:e>
          <m:sub>
            <m:r>
              <m:rPr/>
              <w:rPr>
                <w:rFonts w:ascii="Cambria Math" w:hAnsi="Cambria Math" w:cs="Times New Roman"/>
              </w:rPr>
              <m:t>0</m:t>
            </m:r>
            <m:ctrlPr>
              <w:rPr>
                <w:rFonts w:ascii="Cambria Math" w:hAnsi="Cambria Math" w:cs="Times New Roman"/>
                <w:i/>
              </w:rPr>
            </m:ctrlPr>
          </m:sub>
        </m:sSub>
      </m:oMath>
      <w:r>
        <w:rPr>
          <w:rFonts w:cs="Times New Roman"/>
        </w:rPr>
        <w:t>——</w:t>
      </w:r>
      <w:r>
        <w:rPr>
          <w:rFonts w:hint="eastAsia" w:cs="Times New Roman"/>
        </w:rPr>
        <w:t>与振源半径相关的几何衰减系数，对于一般性黏土，可取</w:t>
      </w:r>
      <m:oMath>
        <m:r>
          <m:rPr/>
          <w:rPr>
            <w:rFonts w:ascii="Cambria Math" w:hAnsi="Cambria Math" w:eastAsiaTheme="minorEastAsia"/>
            <w:color w:val="000000" w:themeColor="text1"/>
            <w14:textFill>
              <w14:solidFill>
                <w14:schemeClr w14:val="tx1"/>
              </w14:solidFill>
            </w14:textFill>
          </w:rPr>
          <m:t xml:space="preserve"> </m:t>
        </m:r>
        <m:sSub>
          <m:sSubPr>
            <m:ctrlPr>
              <w:rPr>
                <w:rFonts w:ascii="Cambria Math" w:hAnsi="Cambria Math" w:eastAsiaTheme="minorEastAsia"/>
                <w:i/>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ξ</m:t>
            </m:r>
            <m:ctrlPr>
              <w:rPr>
                <w:rFonts w:ascii="Cambria Math" w:hAnsi="Cambria Math" w:eastAsiaTheme="minorEastAsia"/>
                <w:i/>
                <w:i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0</m:t>
            </m:r>
            <m:ctrlPr>
              <w:rPr>
                <w:rFonts w:ascii="Cambria Math" w:hAnsi="Cambria Math" w:eastAsiaTheme="minorEastAsia"/>
                <w:i/>
                <w:iCs/>
                <w:color w:val="000000" w:themeColor="text1"/>
                <w14:textFill>
                  <w14:solidFill>
                    <w14:schemeClr w14:val="tx1"/>
                  </w14:solidFill>
                </w14:textFill>
              </w:rPr>
            </m:ctrlPr>
          </m:sub>
        </m:sSub>
        <m:r>
          <m:rPr/>
          <w:rPr>
            <w:rFonts w:ascii="Cambria Math" w:hAnsi="Cambria Math" w:eastAsiaTheme="minorEastAsia"/>
            <w:color w:val="000000" w:themeColor="text1"/>
            <w14:textFill>
              <w14:solidFill>
                <w14:schemeClr w14:val="tx1"/>
              </w14:solidFill>
            </w14:textFill>
          </w:rPr>
          <m:t>=0.65−0.098</m:t>
        </m:r>
        <m:sSub>
          <m:sSubPr>
            <m:ctrlPr>
              <w:rPr>
                <w:rFonts w:ascii="Cambria Math" w:hAnsi="Cambria Math" w:eastAsiaTheme="minorEastAsia"/>
                <w:i/>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r</m:t>
            </m:r>
            <m:ctrlPr>
              <w:rPr>
                <w:rFonts w:ascii="Cambria Math" w:hAnsi="Cambria Math" w:eastAsiaTheme="minorEastAsia"/>
                <w:i/>
                <w:i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0</m:t>
            </m:r>
            <m:ctrlPr>
              <w:rPr>
                <w:rFonts w:ascii="Cambria Math" w:hAnsi="Cambria Math" w:eastAsiaTheme="minorEastAsia"/>
                <w:i/>
                <w:iCs/>
                <w:color w:val="000000" w:themeColor="text1"/>
                <w14:textFill>
                  <w14:solidFill>
                    <w14:schemeClr w14:val="tx1"/>
                  </w14:solidFill>
                </w14:textFill>
              </w:rPr>
            </m:ctrlPr>
          </m:sub>
        </m:sSub>
        <m:r>
          <m:rPr/>
          <w:rPr>
            <w:rFonts w:ascii="Cambria Math" w:hAnsi="Cambria Math" w:eastAsiaTheme="minorEastAsia"/>
            <w:color w:val="000000" w:themeColor="text1"/>
            <w14:textFill>
              <w14:solidFill>
                <w14:schemeClr w14:val="tx1"/>
              </w14:solidFill>
            </w14:textFill>
          </w:rPr>
          <m:t>+0.0052</m:t>
        </m:r>
        <m:sSubSup>
          <m:sSubSupPr>
            <m:ctrlPr>
              <w:rPr>
                <w:rFonts w:ascii="Cambria Math" w:hAnsi="Cambria Math" w:eastAsiaTheme="minorEastAsia"/>
                <w:i/>
                <w:iCs/>
                <w:color w:val="000000" w:themeColor="text1"/>
                <w14:textFill>
                  <w14:solidFill>
                    <w14:schemeClr w14:val="tx1"/>
                  </w14:solidFill>
                </w14:textFill>
              </w:rPr>
            </m:ctrlPr>
          </m:sSubSupPr>
          <m:e>
            <m:r>
              <m:rPr/>
              <w:rPr>
                <w:rFonts w:ascii="Cambria Math" w:hAnsi="Cambria Math" w:eastAsiaTheme="minorEastAsia"/>
                <w:color w:val="000000" w:themeColor="text1"/>
                <w14:textFill>
                  <w14:solidFill>
                    <w14:schemeClr w14:val="tx1"/>
                  </w14:solidFill>
                </w14:textFill>
              </w:rPr>
              <m:t>r</m:t>
            </m:r>
            <m:ctrlPr>
              <w:rPr>
                <w:rFonts w:ascii="Cambria Math" w:hAnsi="Cambria Math" w:eastAsiaTheme="minorEastAsia"/>
                <w:i/>
                <w:i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0</m:t>
            </m:r>
            <m:ctrlPr>
              <w:rPr>
                <w:rFonts w:ascii="Cambria Math" w:hAnsi="Cambria Math" w:eastAsiaTheme="minorEastAsia"/>
                <w:i/>
                <w:iCs/>
                <w:color w:val="000000" w:themeColor="text1"/>
                <w14:textFill>
                  <w14:solidFill>
                    <w14:schemeClr w14:val="tx1"/>
                  </w14:solidFill>
                </w14:textFill>
              </w:rPr>
            </m:ctrlPr>
          </m:sub>
          <m:sup>
            <m:r>
              <m:rPr/>
              <w:rPr>
                <w:rFonts w:ascii="Cambria Math" w:hAnsi="Cambria Math" w:eastAsiaTheme="minorEastAsia"/>
                <w:color w:val="000000" w:themeColor="text1"/>
                <w14:textFill>
                  <w14:solidFill>
                    <w14:schemeClr w14:val="tx1"/>
                  </w14:solidFill>
                </w14:textFill>
              </w:rPr>
              <m:t>2</m:t>
            </m:r>
            <m:ctrlPr>
              <w:rPr>
                <w:rFonts w:ascii="Cambria Math" w:hAnsi="Cambria Math" w:eastAsiaTheme="minorEastAsia"/>
                <w:i/>
                <w:iCs/>
                <w:color w:val="000000" w:themeColor="text1"/>
                <w14:textFill>
                  <w14:solidFill>
                    <w14:schemeClr w14:val="tx1"/>
                  </w14:solidFill>
                </w14:textFill>
              </w:rPr>
            </m:ctrlPr>
          </m:sup>
        </m:sSubSup>
      </m:oMath>
      <w:r>
        <w:rPr>
          <w:rFonts w:hint="eastAsia" w:cs="Times New Roman"/>
        </w:rPr>
        <w:t>；</w:t>
      </w:r>
    </w:p>
    <w:p w14:paraId="611A9995">
      <w:pPr>
        <w:spacing w:before="156"/>
        <w:ind w:firstLine="480"/>
        <w:rPr>
          <w:rFonts w:cs="Times New Roman"/>
        </w:rPr>
      </w:pPr>
      <w:r>
        <w:rPr>
          <w:rFonts w:cs="Times New Roman"/>
        </w:rPr>
        <w:tab/>
      </w:r>
      <m:oMath>
        <m:sSub>
          <m:sSubPr>
            <m:ctrlPr>
              <w:rPr>
                <w:rFonts w:ascii="Cambria Math" w:hAnsi="Cambria Math" w:cs="Times New Roman"/>
                <w:i/>
              </w:rPr>
            </m:ctrlPr>
          </m:sSubPr>
          <m:e>
            <m:r>
              <m:rPr/>
              <w:rPr>
                <w:rFonts w:ascii="Cambria Math" w:hAnsi="Cambria Math" w:cs="Times New Roman"/>
              </w:rPr>
              <m:t>α</m:t>
            </m:r>
            <m:ctrlPr>
              <w:rPr>
                <w:rFonts w:ascii="Cambria Math" w:hAnsi="Cambria Math" w:cs="Times New Roman"/>
                <w:i/>
              </w:rPr>
            </m:ctrlPr>
          </m:e>
          <m:sub>
            <m:r>
              <m:rPr/>
              <w:rPr>
                <w:rFonts w:ascii="Cambria Math" w:hAnsi="Cambria Math" w:cs="Times New Roman"/>
              </w:rPr>
              <m:t>0</m:t>
            </m:r>
            <m:ctrlPr>
              <w:rPr>
                <w:rFonts w:ascii="Cambria Math" w:hAnsi="Cambria Math" w:cs="Times New Roman"/>
                <w:i/>
              </w:rPr>
            </m:ctrlPr>
          </m:sub>
        </m:sSub>
      </m:oMath>
      <w:r>
        <w:rPr>
          <w:rFonts w:cs="Times New Roman"/>
        </w:rPr>
        <w:t>——</w:t>
      </w:r>
      <w:r>
        <w:rPr>
          <w:rFonts w:hint="eastAsia" w:cs="Times New Roman"/>
        </w:rPr>
        <w:t>土的能量吸收系数</w:t>
      </w:r>
      <m:oMath>
        <m:d>
          <m:dPr>
            <m:ctrlPr>
              <w:rPr>
                <w:rFonts w:ascii="Cambria Math" w:hAnsi="Cambria Math" w:cs="Times New Roman"/>
              </w:rPr>
            </m:ctrlPr>
          </m:dPr>
          <m:e>
            <m:r>
              <m:rPr>
                <m:sty m:val="p"/>
              </m:rPr>
              <w:rPr>
                <w:rFonts w:hint="eastAsia" w:ascii="Cambria Math" w:hAnsi="Cambria Math" w:cs="Times New Roman"/>
              </w:rPr>
              <m:t>s</m:t>
            </m:r>
            <m:r>
              <m:rPr>
                <m:sty m:val="p"/>
              </m:rPr>
              <w:rPr>
                <w:rFonts w:ascii="Cambria Math" w:hAnsi="Cambria Math" w:cs="Times New Roman"/>
              </w:rPr>
              <m:t>/</m:t>
            </m:r>
            <m:r>
              <m:rPr>
                <m:sty m:val="p"/>
              </m:rPr>
              <w:rPr>
                <w:rFonts w:hint="eastAsia" w:ascii="Cambria Math" w:hAnsi="Cambria Math" w:cs="Times New Roman"/>
              </w:rPr>
              <m:t>m</m:t>
            </m:r>
            <m:ctrlPr>
              <w:rPr>
                <w:rFonts w:ascii="Cambria Math" w:hAnsi="Cambria Math" w:cs="Times New Roman"/>
              </w:rPr>
            </m:ctrlPr>
          </m:e>
        </m:d>
      </m:oMath>
      <w:r>
        <w:rPr>
          <w:rFonts w:hint="eastAsia" w:cs="Times New Roman"/>
        </w:rPr>
        <w:t>，一般坚硬粘性土、中密碎石、卵石类地基土，可取</w:t>
      </w:r>
      <m:oMath>
        <m:sSub>
          <m:sSubPr>
            <m:ctrlPr>
              <w:rPr>
                <w:rFonts w:ascii="Cambria Math" w:hAnsi="Cambria Math" w:cs="Times New Roman"/>
                <w:i/>
                <w:iCs/>
              </w:rPr>
            </m:ctrlPr>
          </m:sSubPr>
          <m:e>
            <m:r>
              <m:rPr/>
              <w:rPr>
                <w:rFonts w:ascii="Cambria Math" w:hAnsi="Cambria Math" w:cs="Times New Roman"/>
              </w:rPr>
              <m:t>α</m:t>
            </m:r>
            <m:ctrlPr>
              <w:rPr>
                <w:rFonts w:ascii="Cambria Math" w:hAnsi="Cambria Math" w:cs="Times New Roman"/>
                <w:i/>
                <w:iCs/>
              </w:rPr>
            </m:ctrlPr>
          </m:e>
          <m:sub>
            <m:r>
              <m:rPr/>
              <w:rPr>
                <w:rFonts w:ascii="Cambria Math" w:hAnsi="Cambria Math" w:cs="Times New Roman"/>
              </w:rPr>
              <m:t>0</m:t>
            </m:r>
            <m:ctrlPr>
              <w:rPr>
                <w:rFonts w:ascii="Cambria Math" w:hAnsi="Cambria Math" w:cs="Times New Roman"/>
                <w:i/>
                <w:iCs/>
              </w:rPr>
            </m:ctrlPr>
          </m:sub>
        </m:sSub>
        <m:r>
          <m:rPr/>
          <w:rPr>
            <w:rFonts w:ascii="Cambria Math" w:hAnsi="Cambria Math" w:cs="Times New Roman"/>
          </w:rPr>
          <m:t>=</m:t>
        </m:r>
        <m:d>
          <m:dPr>
            <m:ctrlPr>
              <w:rPr>
                <w:rFonts w:ascii="Cambria Math" w:hAnsi="Cambria Math" w:cs="Times New Roman"/>
                <w:i/>
              </w:rPr>
            </m:ctrlPr>
          </m:dPr>
          <m:e>
            <m:r>
              <m:rPr/>
              <w:rPr>
                <w:rFonts w:ascii="Cambria Math" w:hAnsi="Cambria Math" w:cs="Times New Roman"/>
              </w:rPr>
              <m:t>0.8~1.1</m:t>
            </m:r>
            <m:ctrlPr>
              <w:rPr>
                <w:rFonts w:ascii="Cambria Math" w:hAnsi="Cambria Math" w:cs="Times New Roman"/>
                <w:i/>
              </w:rPr>
            </m:ctrlPr>
          </m:e>
        </m:d>
        <m:sSup>
          <m:sSupPr>
            <m:ctrlPr>
              <w:rPr>
                <w:rFonts w:ascii="Cambria Math" w:hAnsi="Cambria Math" w:cs="Times New Roman"/>
                <w:i/>
                <w:iCs/>
              </w:rPr>
            </m:ctrlPr>
          </m:sSupPr>
          <m:e>
            <m:r>
              <m:rPr/>
              <w:rPr>
                <w:rFonts w:ascii="Cambria Math" w:hAnsi="Cambria Math" w:cs="Times New Roman"/>
              </w:rPr>
              <m:t>×10</m:t>
            </m:r>
            <m:ctrlPr>
              <w:rPr>
                <w:rFonts w:ascii="Cambria Math" w:hAnsi="Cambria Math" w:cs="Times New Roman"/>
                <w:i/>
                <w:iCs/>
              </w:rPr>
            </m:ctrlPr>
          </m:e>
          <m:sup>
            <m:r>
              <m:rPr/>
              <w:rPr>
                <w:rFonts w:ascii="Cambria Math" w:hAnsi="Cambria Math" w:cs="Times New Roman"/>
              </w:rPr>
              <m:t>−3</m:t>
            </m:r>
            <m:ctrlPr>
              <w:rPr>
                <w:rFonts w:ascii="Cambria Math" w:hAnsi="Cambria Math" w:cs="Times New Roman"/>
                <w:i/>
                <w:iCs/>
              </w:rPr>
            </m:ctrlPr>
          </m:sup>
        </m:sSup>
      </m:oMath>
      <w:r>
        <w:rPr>
          <w:rFonts w:hint="eastAsia" w:cs="Times New Roman"/>
        </w:rPr>
        <w:t>；对于软土场地或饱和淤泥软土场地，对于软土可乘以1.5~2的系数，对于坚硬土应乘以0</w:t>
      </w:r>
      <w:r>
        <w:rPr>
          <w:rFonts w:cs="Times New Roman"/>
        </w:rPr>
        <w:t>.5</w:t>
      </w:r>
      <w:r>
        <w:rPr>
          <w:rFonts w:hint="eastAsia" w:cs="Times New Roman"/>
        </w:rPr>
        <w:t>~</w:t>
      </w:r>
      <w:r>
        <w:rPr>
          <w:rFonts w:cs="Times New Roman"/>
        </w:rPr>
        <w:t>0.6</w:t>
      </w:r>
      <w:r>
        <w:rPr>
          <w:rFonts w:hint="eastAsia" w:cs="Times New Roman"/>
        </w:rPr>
        <w:t>的系数。</w:t>
      </w:r>
    </w:p>
    <w:p w14:paraId="5482CA63">
      <w:pPr>
        <w:spacing w:before="156"/>
        <w:ind w:firstLine="480"/>
      </w:pPr>
      <w:r>
        <w:tab/>
      </w:r>
      <m:oMath>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0</m:t>
            </m:r>
            <m:ctrlPr>
              <w:rPr>
                <w:rFonts w:ascii="Cambria Math" w:hAnsi="Cambria Math"/>
                <w:i/>
              </w:rPr>
            </m:ctrlPr>
          </m:sub>
        </m:sSub>
      </m:oMath>
      <w:r>
        <w:t>——</w:t>
      </w:r>
      <w:r>
        <w:rPr>
          <w:rFonts w:hint="eastAsia"/>
        </w:rPr>
        <w:t>地基基础的振动频率</w:t>
      </w:r>
      <m:oMath>
        <m:d>
          <m:dPr>
            <m:ctrlPr>
              <w:rPr>
                <w:rFonts w:ascii="Cambria Math" w:hAnsi="Cambria Math"/>
              </w:rPr>
            </m:ctrlPr>
          </m:dPr>
          <m:e>
            <m:r>
              <m:rPr>
                <m:sty m:val="p"/>
              </m:rPr>
              <w:rPr>
                <w:rFonts w:hint="eastAsia" w:ascii="Cambria Math" w:hAnsi="Cambria Math"/>
              </w:rPr>
              <m:t>Hz</m:t>
            </m:r>
            <m:ctrlPr>
              <w:rPr>
                <w:rFonts w:ascii="Cambria Math" w:hAnsi="Cambria Math"/>
              </w:rPr>
            </m:ctrlPr>
          </m:e>
        </m:d>
      </m:oMath>
      <w:r>
        <w:rPr>
          <w:rFonts w:hint="eastAsia"/>
        </w:rPr>
        <w:t>。</w:t>
      </w:r>
    </w:p>
    <w:p w14:paraId="389B08F7">
      <w:pPr>
        <w:spacing w:before="156"/>
        <w:ind w:firstLine="480"/>
      </w:pPr>
      <w:r>
        <w:rPr>
          <w:rFonts w:hint="eastAsia"/>
        </w:rPr>
        <w:t>2锻锤基础等效半径可按下式计算：</w:t>
      </w:r>
    </w:p>
    <w:p w14:paraId="2EB3ACC5">
      <w:pPr>
        <w:spacing w:before="156"/>
        <w:ind w:firstLine="480"/>
        <w:jc w:val="right"/>
      </w:pPr>
      <m:oMath>
        <m:sSub>
          <m:sSubPr>
            <m:ctrlPr>
              <w:rPr>
                <w:rFonts w:ascii="Cambria Math" w:hAnsi="Cambria Math"/>
              </w:rPr>
            </m:ctrlPr>
          </m:sSubPr>
          <m:e>
            <m:r>
              <m:rPr/>
              <w:rPr>
                <w:rFonts w:hint="eastAsia" w:ascii="Cambria Math" w:hAnsi="Cambria Math"/>
              </w:rPr>
              <m:t>r</m:t>
            </m:r>
            <m:ctrlPr>
              <w:rPr>
                <w:rFonts w:ascii="Cambria Math" w:hAnsi="Cambria Math"/>
              </w:rPr>
            </m:ctrlPr>
          </m:e>
          <m:sub>
            <m:r>
              <m:rPr/>
              <w:rPr>
                <w:rFonts w:ascii="Cambria Math" w:hAnsi="Cambria Math"/>
              </w:rPr>
              <m:t>0</m:t>
            </m:r>
            <m:ctrlPr>
              <w:rPr>
                <w:rFonts w:ascii="Cambria Math" w:hAnsi="Cambria Math"/>
              </w:rPr>
            </m:ctrlPr>
          </m:sub>
        </m:sSub>
        <m:r>
          <m:rPr/>
          <w:rPr>
            <w:rFonts w:ascii="Cambria Math" w:hAnsi="Cambria Math"/>
          </w:rPr>
          <m:t>=</m:t>
        </m:r>
        <m:sSub>
          <m:sSubPr>
            <m:ctrlPr>
              <w:rPr>
                <w:rFonts w:ascii="Cambria Math" w:hAnsi="Cambria Math"/>
                <w:i/>
              </w:rPr>
            </m:ctrlPr>
          </m:sSubPr>
          <m:e>
            <m:r>
              <m:rPr/>
              <w:rPr>
                <w:rFonts w:ascii="Cambria Math" w:hAnsi="Cambria Math"/>
              </w:rPr>
              <m:t>μ</m:t>
            </m:r>
            <m:ctrlPr>
              <w:rPr>
                <w:rFonts w:ascii="Cambria Math" w:hAnsi="Cambria Math"/>
                <w:i/>
              </w:rPr>
            </m:ctrlPr>
          </m:e>
          <m:sub>
            <m:r>
              <m:rPr/>
              <w:rPr>
                <w:rFonts w:ascii="Cambria Math" w:hAnsi="Cambria Math"/>
              </w:rPr>
              <m:t>1</m:t>
            </m:r>
            <m:ctrlPr>
              <w:rPr>
                <w:rFonts w:ascii="Cambria Math" w:hAnsi="Cambria Math"/>
                <w:i/>
              </w:rPr>
            </m:ctrlPr>
          </m:sub>
        </m:sSub>
        <m:rad>
          <m:radPr>
            <m:degHide m:val="1"/>
            <m:ctrlPr>
              <w:rPr>
                <w:rFonts w:ascii="Cambria Math" w:hAnsi="Cambria Math"/>
                <w:i/>
              </w:rPr>
            </m:ctrlPr>
          </m:radPr>
          <m:deg>
            <m:ctrlPr>
              <w:rPr>
                <w:rFonts w:ascii="Cambria Math" w:hAnsi="Cambria Math"/>
                <w:i/>
              </w:rPr>
            </m:ctrlPr>
          </m:deg>
          <m:e>
            <m:f>
              <m:fPr>
                <m:ctrlPr>
                  <w:rPr>
                    <w:rFonts w:ascii="Cambria Math" w:hAnsi="Cambria Math"/>
                    <w:i/>
                  </w:rPr>
                </m:ctrlPr>
              </m:fPr>
              <m:num>
                <m:r>
                  <m:rPr/>
                  <w:rPr>
                    <w:rFonts w:ascii="Cambria Math" w:hAnsi="Cambria Math"/>
                  </w:rPr>
                  <m:t>A</m:t>
                </m:r>
                <m:ctrlPr>
                  <w:rPr>
                    <w:rFonts w:ascii="Cambria Math" w:hAnsi="Cambria Math"/>
                    <w:i/>
                  </w:rPr>
                </m:ctrlPr>
              </m:num>
              <m:den>
                <m:r>
                  <m:rPr/>
                  <w:rPr>
                    <w:rFonts w:ascii="Cambria Math" w:hAnsi="Cambria Math"/>
                  </w:rPr>
                  <m:t>π</m:t>
                </m:r>
                <m:ctrlPr>
                  <w:rPr>
                    <w:rFonts w:ascii="Cambria Math" w:hAnsi="Cambria Math"/>
                    <w:i/>
                  </w:rPr>
                </m:ctrlPr>
              </m:den>
            </m:f>
            <m:ctrlPr>
              <w:rPr>
                <w:rFonts w:ascii="Cambria Math" w:hAnsi="Cambria Math"/>
                <w:i/>
              </w:rPr>
            </m:ctrlPr>
          </m:e>
        </m:rad>
      </m:oMath>
      <w:r>
        <w:t xml:space="preserve">                          </w:t>
      </w:r>
      <w:r>
        <w:rPr>
          <w:rFonts w:hint="eastAsia"/>
        </w:rPr>
        <w:t>（</w:t>
      </w:r>
      <w:r>
        <w:t>A.2.2</w:t>
      </w:r>
      <w:r>
        <w:rPr>
          <w:rFonts w:hint="eastAsia"/>
        </w:rPr>
        <w:t>-2）</w:t>
      </w:r>
    </w:p>
    <w:p w14:paraId="3DF7CE85">
      <w:pPr>
        <w:spacing w:before="156"/>
        <w:ind w:firstLine="480"/>
        <w:jc w:val="right"/>
      </w:pPr>
      <m:oMath>
        <m:sSub>
          <m:sSubPr>
            <m:ctrlPr>
              <w:rPr>
                <w:rFonts w:ascii="Cambria Math" w:hAnsi="Cambria Math"/>
                <w:i/>
              </w:rPr>
            </m:ctrlPr>
          </m:sSubPr>
          <m:e>
            <m:r>
              <m:rPr/>
              <w:rPr>
                <w:rFonts w:ascii="Cambria Math" w:hAnsi="Cambria Math"/>
              </w:rPr>
              <m:t>μ</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=1.2−0.024A+0.0003</m:t>
        </m:r>
        <m:sSup>
          <m:sSupPr>
            <m:ctrlPr>
              <w:rPr>
                <w:rFonts w:ascii="Cambria Math" w:hAnsi="Cambria Math"/>
                <w:i/>
              </w:rPr>
            </m:ctrlPr>
          </m:sSupPr>
          <m:e>
            <m:r>
              <m:rPr/>
              <w:rPr>
                <w:rFonts w:ascii="Cambria Math" w:hAnsi="Cambria Math"/>
              </w:rPr>
              <m:t>A</m:t>
            </m:r>
            <m:ctrlPr>
              <w:rPr>
                <w:rFonts w:ascii="Cambria Math" w:hAnsi="Cambria Math"/>
                <w:i/>
              </w:rPr>
            </m:ctrlPr>
          </m:e>
          <m:sup>
            <m:r>
              <m:rPr/>
              <w:rPr>
                <w:rFonts w:ascii="Cambria Math" w:hAnsi="Cambria Math"/>
              </w:rPr>
              <m:t>2</m:t>
            </m:r>
            <m:ctrlPr>
              <w:rPr>
                <w:rFonts w:ascii="Cambria Math" w:hAnsi="Cambria Math"/>
                <w:i/>
              </w:rPr>
            </m:ctrlPr>
          </m:sup>
        </m:sSup>
      </m:oMath>
      <w:r>
        <w:t xml:space="preserve">               </w:t>
      </w:r>
      <w:r>
        <w:rPr>
          <w:rFonts w:hint="eastAsia"/>
        </w:rPr>
        <w:t>（</w:t>
      </w:r>
      <w:r>
        <w:t>A.2.2</w:t>
      </w:r>
      <w:r>
        <w:rPr>
          <w:rFonts w:hint="eastAsia"/>
        </w:rPr>
        <w:t>-3）</w:t>
      </w:r>
    </w:p>
    <w:p w14:paraId="66BA8CB2">
      <w:pPr>
        <w:spacing w:before="156"/>
        <w:ind w:firstLine="480"/>
      </w:pPr>
      <w:r>
        <w:tab/>
      </w:r>
      <w:r>
        <w:rPr>
          <w:rFonts w:hint="eastAsia"/>
        </w:rPr>
        <w:t>式中：</w:t>
      </w:r>
      <m:oMath>
        <m:sSub>
          <m:sSubPr>
            <m:ctrlPr>
              <w:rPr>
                <w:rFonts w:ascii="Cambria Math" w:hAnsi="Cambria Math"/>
              </w:rPr>
            </m:ctrlPr>
          </m:sSubPr>
          <m:e>
            <m:r>
              <m:rPr/>
              <w:rPr>
                <w:rFonts w:ascii="Cambria Math" w:hAnsi="Cambria Math"/>
              </w:rPr>
              <m:t>μ</m:t>
            </m:r>
            <m:ctrlPr>
              <w:rPr>
                <w:rFonts w:ascii="Cambria Math" w:hAnsi="Cambria Math"/>
              </w:rPr>
            </m:ctrlPr>
          </m:e>
          <m:sub>
            <m:r>
              <m:rPr/>
              <w:rPr>
                <w:rFonts w:ascii="Cambria Math" w:hAnsi="Cambria Math"/>
              </w:rPr>
              <m:t>1</m:t>
            </m:r>
            <m:ctrlPr>
              <w:rPr>
                <w:rFonts w:ascii="Cambria Math" w:hAnsi="Cambria Math"/>
              </w:rPr>
            </m:ctrlPr>
          </m:sub>
        </m:sSub>
      </m:oMath>
      <w:r>
        <w:t>——</w:t>
      </w:r>
      <w:r>
        <w:rPr>
          <w:rFonts w:hint="eastAsia"/>
        </w:rPr>
        <w:t>矩形基础动力影响系数；</w:t>
      </w:r>
    </w:p>
    <w:p w14:paraId="1DB47457">
      <w:pPr>
        <w:spacing w:before="156"/>
        <w:ind w:firstLine="480"/>
      </w:pPr>
      <w:r>
        <w:tab/>
      </w:r>
      <w:r>
        <w:t xml:space="preserve">  </w:t>
      </w:r>
      <m:oMath>
        <m:r>
          <m:rPr/>
          <w:rPr>
            <w:rFonts w:ascii="Cambria Math" w:hAnsi="Cambria Math"/>
          </w:rPr>
          <m:t>A</m:t>
        </m:r>
      </m:oMath>
      <w:r>
        <w:t>——</w:t>
      </w:r>
      <w:r>
        <w:rPr>
          <w:rFonts w:hint="eastAsia"/>
        </w:rPr>
        <w:t>基础底面积</w:t>
      </w:r>
      <m:oMath>
        <m:d>
          <m:dPr>
            <m:ctrlPr>
              <w:rPr>
                <w:rFonts w:ascii="Cambria Math" w:hAnsi="Cambria Math"/>
              </w:rPr>
            </m:ctrlPr>
          </m:dPr>
          <m:e>
            <m:sSup>
              <m:sSupPr>
                <m:ctrlPr>
                  <w:rPr>
                    <w:rFonts w:ascii="Cambria Math" w:hAnsi="Cambria Math"/>
                  </w:rPr>
                </m:ctrlPr>
              </m:sSupPr>
              <m:e>
                <m:r>
                  <m:rPr>
                    <m:sty m:val="p"/>
                  </m:rPr>
                  <w:rPr>
                    <w:rFonts w:hint="eastAsia" w:ascii="Cambria Math" w:hAnsi="Cambria Math"/>
                  </w:rPr>
                  <m:t>m</m:t>
                </m:r>
                <m:ctrlPr>
                  <w:rPr>
                    <w:rFonts w:ascii="Cambria Math" w:hAnsi="Cambria Math"/>
                  </w:rPr>
                </m:ctrlPr>
              </m:e>
              <m:sup>
                <m:r>
                  <m:rPr>
                    <m:sty m:val="p"/>
                  </m:rPr>
                  <w:rPr>
                    <w:rFonts w:ascii="Cambria Math" w:hAnsi="Cambria Math"/>
                  </w:rPr>
                  <m:t>2</m:t>
                </m:r>
                <m:ctrlPr>
                  <w:rPr>
                    <w:rFonts w:ascii="Cambria Math" w:hAnsi="Cambria Math"/>
                  </w:rPr>
                </m:ctrlPr>
              </m:sup>
            </m:sSup>
            <m:ctrlPr>
              <w:rPr>
                <w:rFonts w:ascii="Cambria Math" w:hAnsi="Cambria Math"/>
              </w:rPr>
            </m:ctrlPr>
          </m:e>
        </m:d>
      </m:oMath>
      <w:r>
        <w:rPr>
          <w:rFonts w:hint="eastAsia"/>
        </w:rPr>
        <w:t>。</w:t>
      </w:r>
    </w:p>
    <w:p w14:paraId="2EDFE1C2">
      <w:pPr>
        <w:spacing w:before="156"/>
        <w:ind w:firstLine="480"/>
      </w:pPr>
      <w:r>
        <w:rPr>
          <w:rFonts w:hint="eastAsia"/>
        </w:rPr>
        <w:t>3 不同类型土的能量吸收系数按《动力机器基础设计标准》GB</w:t>
      </w:r>
      <w:r>
        <w:t>50040-2020</w:t>
      </w:r>
      <w:r>
        <w:rPr>
          <w:rFonts w:hint="eastAsia"/>
        </w:rPr>
        <w:t>附录C确定。</w:t>
      </w:r>
    </w:p>
    <w:p w14:paraId="24ED8061">
      <w:pPr>
        <w:spacing w:before="156"/>
        <w:ind w:firstLine="480"/>
      </w:pPr>
      <w:r>
        <w:t>A</w:t>
      </w:r>
      <w:r>
        <w:rPr>
          <w:rFonts w:hint="eastAsia"/>
        </w:rPr>
        <w:t>.</w:t>
      </w:r>
      <w:r>
        <w:t>2</w:t>
      </w:r>
      <w:r>
        <w:rPr>
          <w:rFonts w:hint="eastAsia"/>
        </w:rPr>
        <w:t>.3</w:t>
      </w:r>
      <w:r>
        <w:t xml:space="preserve"> </w:t>
      </w:r>
      <w:r>
        <w:rPr>
          <w:rFonts w:hint="eastAsia"/>
        </w:rPr>
        <w:t xml:space="preserve">数值分析法宜按下步骤分析：  </w:t>
      </w:r>
    </w:p>
    <w:p w14:paraId="4662DAD6">
      <w:pPr>
        <w:spacing w:before="156"/>
        <w:ind w:firstLine="480"/>
      </w:pPr>
      <w:r>
        <w:rPr>
          <w:rFonts w:hint="eastAsia"/>
        </w:rPr>
        <w:t>1</w:t>
      </w:r>
      <w:r>
        <w:t xml:space="preserve"> </w:t>
      </w:r>
      <w:r>
        <w:rPr>
          <w:rFonts w:hint="eastAsia"/>
        </w:rPr>
        <w:t>采用有限元软件建立“锻锤-基础-土体”耦合模型，分析振动传播路径及衰减规律。</w:t>
      </w:r>
    </w:p>
    <w:p w14:paraId="0E843F41">
      <w:pPr>
        <w:spacing w:before="156"/>
        <w:ind w:firstLine="480"/>
      </w:pPr>
      <w:r>
        <w:rPr>
          <w:rFonts w:hint="eastAsia"/>
        </w:rPr>
        <w:t>2</w:t>
      </w:r>
      <w:r>
        <w:t xml:space="preserve"> </w:t>
      </w:r>
      <w:r>
        <w:rPr>
          <w:rFonts w:hint="eastAsia"/>
        </w:rPr>
        <w:t>模型应包含土体分层参数、阻尼比及边界条件（如无限元或粘弹性边界）。</w:t>
      </w:r>
    </w:p>
    <w:p w14:paraId="59721629">
      <w:pPr>
        <w:spacing w:before="156"/>
        <w:ind w:firstLine="480"/>
      </w:pPr>
      <w:r>
        <w:rPr>
          <w:rFonts w:hint="eastAsia"/>
        </w:rPr>
        <w:t>3</w:t>
      </w:r>
      <w:r>
        <w:t xml:space="preserve"> </w:t>
      </w:r>
      <w:r>
        <w:rPr>
          <w:rFonts w:hint="eastAsia"/>
        </w:rPr>
        <w:t xml:space="preserve">锻锤荷载类型可依据6.3节内容确定。 </w:t>
      </w:r>
    </w:p>
    <w:p w14:paraId="319B62FE">
      <w:pPr>
        <w:spacing w:before="156"/>
        <w:ind w:firstLine="480"/>
      </w:pPr>
      <w:r>
        <w:rPr>
          <w:rFonts w:hint="eastAsia"/>
        </w:rPr>
        <w:t>4 数值分析法预测宜采用有限元法，预测可按图A.</w:t>
      </w:r>
      <w:r>
        <w:t>2</w:t>
      </w:r>
      <w:r>
        <w:rPr>
          <w:rFonts w:hint="eastAsia"/>
        </w:rPr>
        <w:t>.3所示流程进行。应对数值分析法计算结果的有效性和准确性进行验证。</w:t>
      </w:r>
    </w:p>
    <w:p w14:paraId="64888800">
      <w:pPr>
        <w:pStyle w:val="39"/>
      </w:pPr>
      <w:bookmarkStart w:id="14" w:name="_Hlk121564497"/>
      <w:r>
        <w:drawing>
          <wp:inline distT="0" distB="0" distL="0" distR="0">
            <wp:extent cx="5399405" cy="2040255"/>
            <wp:effectExtent l="0" t="0" r="10795" b="17145"/>
            <wp:docPr id="188298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9867" name="图片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400000" cy="2040789"/>
                    </a:xfrm>
                    <a:prstGeom prst="rect">
                      <a:avLst/>
                    </a:prstGeom>
                    <a:noFill/>
                  </pic:spPr>
                </pic:pic>
              </a:graphicData>
            </a:graphic>
          </wp:inline>
        </w:drawing>
      </w:r>
    </w:p>
    <w:p w14:paraId="64D65A57">
      <w:pPr>
        <w:pStyle w:val="39"/>
      </w:pPr>
      <w:r>
        <w:t>图</w:t>
      </w:r>
      <w:r>
        <w:rPr>
          <w:rFonts w:hint="eastAsia"/>
        </w:rPr>
        <w:t>A</w:t>
      </w:r>
      <w:r>
        <w:t>.2.3　数值</w:t>
      </w:r>
      <w:r>
        <w:rPr>
          <w:rFonts w:hint="eastAsia"/>
        </w:rPr>
        <w:t>分析法</w:t>
      </w:r>
      <w:r>
        <w:t>流程图</w:t>
      </w:r>
    </w:p>
    <w:bookmarkEnd w:id="14"/>
    <w:p w14:paraId="08C91B9C">
      <w:pPr>
        <w:spacing w:before="156"/>
        <w:ind w:firstLine="480"/>
      </w:pPr>
      <w:r>
        <w:t>A</w:t>
      </w:r>
      <w:r>
        <w:rPr>
          <w:rFonts w:hint="eastAsia"/>
        </w:rPr>
        <w:t>.</w:t>
      </w:r>
      <w:r>
        <w:t>2</w:t>
      </w:r>
      <w:r>
        <w:rPr>
          <w:rFonts w:hint="eastAsia"/>
        </w:rPr>
        <w:t>.4</w:t>
      </w:r>
      <w:r>
        <w:t xml:space="preserve"> </w:t>
      </w:r>
      <w:r>
        <w:rPr>
          <w:rFonts w:hint="eastAsia"/>
        </w:rPr>
        <w:t>现场测试法宜按下列步骤进行测试：</w:t>
      </w:r>
    </w:p>
    <w:p w14:paraId="2634D4B0">
      <w:pPr>
        <w:spacing w:before="156"/>
        <w:ind w:firstLine="480"/>
      </w:pPr>
      <w:r>
        <w:rPr>
          <w:rFonts w:hint="eastAsia"/>
        </w:rPr>
        <w:t>1锻锤基础周边布置测点，记录振动速度或加速度时程曲线。</w:t>
      </w:r>
    </w:p>
    <w:p w14:paraId="53D0336F">
      <w:pPr>
        <w:spacing w:before="156"/>
        <w:ind w:firstLine="480"/>
      </w:pPr>
      <w:r>
        <w:rPr>
          <w:rFonts w:hint="eastAsia"/>
        </w:rPr>
        <w:t xml:space="preserve">2测点间距宜为5m～10m，重点区域（如建筑物基础）应加密布置。 </w:t>
      </w:r>
    </w:p>
    <w:p w14:paraId="2163AC95">
      <w:pPr>
        <w:spacing w:before="156"/>
        <w:ind w:firstLine="480"/>
      </w:pPr>
      <w:r>
        <w:rPr>
          <w:rFonts w:hint="eastAsia"/>
        </w:rPr>
        <w:t>3测试方法应符合本标准第5章的规定。</w:t>
      </w:r>
    </w:p>
    <w:p w14:paraId="322EA670">
      <w:pPr>
        <w:spacing w:before="156"/>
        <w:ind w:firstLine="480"/>
      </w:pPr>
      <w:r>
        <w:t>A</w:t>
      </w:r>
      <w:r>
        <w:rPr>
          <w:rFonts w:hint="eastAsia"/>
        </w:rPr>
        <w:t>.</w:t>
      </w:r>
      <w:r>
        <w:t>2</w:t>
      </w:r>
      <w:r>
        <w:rPr>
          <w:rFonts w:hint="eastAsia"/>
        </w:rPr>
        <w:t>.5</w:t>
      </w:r>
      <w:r>
        <w:t xml:space="preserve"> </w:t>
      </w:r>
      <w:r>
        <w:rPr>
          <w:rFonts w:hint="eastAsia"/>
        </w:rPr>
        <w:t>数据表格法宜按下列步骤进行振动响应评估：</w:t>
      </w:r>
    </w:p>
    <w:p w14:paraId="33DF1428">
      <w:pPr>
        <w:spacing w:before="156"/>
        <w:ind w:firstLine="480"/>
        <w:rPr>
          <w:rFonts w:cs="Times New Roman"/>
          <w:szCs w:val="24"/>
        </w:rPr>
      </w:pPr>
      <w:r>
        <w:rPr>
          <w:rFonts w:hint="eastAsia" w:cs="Times New Roman"/>
          <w:szCs w:val="24"/>
        </w:rPr>
        <w:t>1为了确定锻锤非隔振刚性基础振动对附近区域的振动影响，在工程规划设计阶段可以根据类型，按照下表的数值确定合理的防振距离。</w:t>
      </w:r>
    </w:p>
    <w:p w14:paraId="10150D03">
      <w:pPr>
        <w:pStyle w:val="39"/>
      </w:pPr>
      <w:r>
        <w:rPr>
          <w:rFonts w:hint="eastAsia"/>
        </w:rPr>
        <w:t>表A</w:t>
      </w:r>
      <w:r>
        <w:t>.2.5</w:t>
      </w:r>
      <w:r>
        <w:rPr>
          <w:rFonts w:hint="eastAsia"/>
        </w:rPr>
        <w:t>-1</w:t>
      </w:r>
      <w:r>
        <w:t xml:space="preserve"> </w:t>
      </w:r>
      <w:r>
        <w:rPr>
          <w:rFonts w:hint="eastAsia"/>
        </w:rPr>
        <w:t>锻锤非隔振</w:t>
      </w:r>
      <w:r>
        <w:t>振动速度</w:t>
      </w:r>
      <m:oMath>
        <m:sSub>
          <m:sSubPr/>
          <m:e>
            <m:r>
              <m:rPr/>
              <m:t>v</m:t>
            </m:r>
          </m:e>
          <m:sub>
            <m:r>
              <m:rPr/>
              <m:t>r</m:t>
            </m:r>
          </m:sub>
        </m:sSub>
      </m:oMath>
      <w:r>
        <w:rPr>
          <w:rFonts w:hint="eastAsia"/>
        </w:rPr>
        <w:t>沿场地分布</w:t>
      </w:r>
      <w:r>
        <w:t>（单位：mm/s）</w:t>
      </w:r>
    </w:p>
    <w:tbl>
      <w:tblPr>
        <w:tblStyle w:val="32"/>
        <w:tblW w:w="83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19"/>
        <w:gridCol w:w="619"/>
        <w:gridCol w:w="619"/>
        <w:gridCol w:w="619"/>
        <w:gridCol w:w="620"/>
        <w:gridCol w:w="620"/>
        <w:gridCol w:w="620"/>
        <w:gridCol w:w="620"/>
        <w:gridCol w:w="620"/>
        <w:gridCol w:w="620"/>
        <w:gridCol w:w="620"/>
        <w:gridCol w:w="787"/>
      </w:tblGrid>
      <w:tr w14:paraId="148E3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761" w:type="dxa"/>
            <w:vMerge w:val="restart"/>
            <w:tcMar>
              <w:left w:w="0" w:type="dxa"/>
              <w:right w:w="0" w:type="dxa"/>
            </w:tcMar>
          </w:tcPr>
          <w:p w14:paraId="12A0F4B3">
            <w:pPr>
              <w:pStyle w:val="39"/>
            </w:pPr>
            <w:r>
              <w:rPr>
                <w:rFonts w:hint="eastAsia"/>
              </w:rPr>
              <w:t>压机</w:t>
            </w:r>
          </w:p>
          <w:p w14:paraId="43D82AE1">
            <w:pPr>
              <w:pStyle w:val="39"/>
            </w:pPr>
            <w:r>
              <w:rPr>
                <w:rFonts w:hint="eastAsia"/>
              </w:rPr>
              <w:t>类型</w:t>
            </w:r>
          </w:p>
        </w:tc>
        <w:tc>
          <w:tcPr>
            <w:tcW w:w="7603" w:type="dxa"/>
            <w:gridSpan w:val="12"/>
            <w:noWrap/>
            <w:tcMar>
              <w:left w:w="0" w:type="dxa"/>
              <w:right w:w="0" w:type="dxa"/>
            </w:tcMar>
          </w:tcPr>
          <w:p w14:paraId="56F1C7E3">
            <w:pPr>
              <w:pStyle w:val="39"/>
            </w:pPr>
            <w:r>
              <w:rPr>
                <w:rFonts w:hint="eastAsia"/>
              </w:rPr>
              <w:t>距离,m</w:t>
            </w:r>
          </w:p>
        </w:tc>
      </w:tr>
      <w:tr w14:paraId="3D420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761" w:type="dxa"/>
            <w:vMerge w:val="continue"/>
            <w:tcMar>
              <w:left w:w="0" w:type="dxa"/>
              <w:right w:w="0" w:type="dxa"/>
            </w:tcMar>
          </w:tcPr>
          <w:p w14:paraId="2F6B6923">
            <w:pPr>
              <w:pStyle w:val="39"/>
            </w:pPr>
          </w:p>
        </w:tc>
        <w:tc>
          <w:tcPr>
            <w:tcW w:w="619" w:type="dxa"/>
            <w:noWrap/>
            <w:tcMar>
              <w:left w:w="0" w:type="dxa"/>
              <w:right w:w="0" w:type="dxa"/>
            </w:tcMar>
          </w:tcPr>
          <w:p w14:paraId="46AD1DDC">
            <w:pPr>
              <w:pStyle w:val="39"/>
            </w:pPr>
            <w:r>
              <w:rPr>
                <w:rFonts w:hint="eastAsia"/>
              </w:rPr>
              <w:t>5</w:t>
            </w:r>
          </w:p>
        </w:tc>
        <w:tc>
          <w:tcPr>
            <w:tcW w:w="619" w:type="dxa"/>
            <w:noWrap/>
            <w:tcMar>
              <w:left w:w="0" w:type="dxa"/>
              <w:right w:w="0" w:type="dxa"/>
            </w:tcMar>
          </w:tcPr>
          <w:p w14:paraId="7A5F58F6">
            <w:pPr>
              <w:pStyle w:val="39"/>
            </w:pPr>
            <w:r>
              <w:rPr>
                <w:rFonts w:hint="eastAsia"/>
              </w:rPr>
              <w:t>10</w:t>
            </w:r>
          </w:p>
        </w:tc>
        <w:tc>
          <w:tcPr>
            <w:tcW w:w="619" w:type="dxa"/>
            <w:noWrap/>
            <w:tcMar>
              <w:left w:w="0" w:type="dxa"/>
              <w:right w:w="0" w:type="dxa"/>
            </w:tcMar>
          </w:tcPr>
          <w:p w14:paraId="36E4BF9E">
            <w:pPr>
              <w:pStyle w:val="39"/>
            </w:pPr>
            <w:r>
              <w:rPr>
                <w:rFonts w:hint="eastAsia"/>
              </w:rPr>
              <w:t>20</w:t>
            </w:r>
          </w:p>
        </w:tc>
        <w:tc>
          <w:tcPr>
            <w:tcW w:w="619" w:type="dxa"/>
            <w:noWrap/>
            <w:tcMar>
              <w:left w:w="0" w:type="dxa"/>
              <w:right w:w="0" w:type="dxa"/>
            </w:tcMar>
          </w:tcPr>
          <w:p w14:paraId="0097D9C2">
            <w:pPr>
              <w:pStyle w:val="39"/>
            </w:pPr>
            <w:r>
              <w:rPr>
                <w:rFonts w:hint="eastAsia"/>
              </w:rPr>
              <w:t>40</w:t>
            </w:r>
          </w:p>
        </w:tc>
        <w:tc>
          <w:tcPr>
            <w:tcW w:w="620" w:type="dxa"/>
            <w:noWrap/>
            <w:tcMar>
              <w:left w:w="0" w:type="dxa"/>
              <w:right w:w="0" w:type="dxa"/>
            </w:tcMar>
          </w:tcPr>
          <w:p w14:paraId="5C899448">
            <w:pPr>
              <w:pStyle w:val="39"/>
            </w:pPr>
            <w:r>
              <w:rPr>
                <w:rFonts w:hint="eastAsia"/>
              </w:rPr>
              <w:t>80</w:t>
            </w:r>
          </w:p>
        </w:tc>
        <w:tc>
          <w:tcPr>
            <w:tcW w:w="620" w:type="dxa"/>
            <w:noWrap/>
            <w:tcMar>
              <w:left w:w="0" w:type="dxa"/>
              <w:right w:w="0" w:type="dxa"/>
            </w:tcMar>
          </w:tcPr>
          <w:p w14:paraId="250A7FD3">
            <w:pPr>
              <w:pStyle w:val="39"/>
            </w:pPr>
            <w:r>
              <w:rPr>
                <w:rFonts w:hint="eastAsia"/>
              </w:rPr>
              <w:t>100</w:t>
            </w:r>
          </w:p>
        </w:tc>
        <w:tc>
          <w:tcPr>
            <w:tcW w:w="620" w:type="dxa"/>
            <w:noWrap/>
            <w:tcMar>
              <w:left w:w="0" w:type="dxa"/>
              <w:right w:w="0" w:type="dxa"/>
            </w:tcMar>
          </w:tcPr>
          <w:p w14:paraId="1ED695A6">
            <w:pPr>
              <w:pStyle w:val="39"/>
            </w:pPr>
            <w:r>
              <w:rPr>
                <w:rFonts w:hint="eastAsia"/>
              </w:rPr>
              <w:t>150</w:t>
            </w:r>
          </w:p>
        </w:tc>
        <w:tc>
          <w:tcPr>
            <w:tcW w:w="620" w:type="dxa"/>
            <w:noWrap/>
            <w:tcMar>
              <w:left w:w="0" w:type="dxa"/>
              <w:right w:w="0" w:type="dxa"/>
            </w:tcMar>
          </w:tcPr>
          <w:p w14:paraId="2937CC89">
            <w:pPr>
              <w:pStyle w:val="39"/>
            </w:pPr>
            <w:r>
              <w:rPr>
                <w:rFonts w:hint="eastAsia"/>
              </w:rPr>
              <w:t>200</w:t>
            </w:r>
          </w:p>
        </w:tc>
        <w:tc>
          <w:tcPr>
            <w:tcW w:w="620" w:type="dxa"/>
            <w:noWrap/>
            <w:tcMar>
              <w:left w:w="0" w:type="dxa"/>
              <w:right w:w="0" w:type="dxa"/>
            </w:tcMar>
          </w:tcPr>
          <w:p w14:paraId="5CAE6555">
            <w:pPr>
              <w:pStyle w:val="39"/>
            </w:pPr>
            <w:r>
              <w:rPr>
                <w:rFonts w:hint="eastAsia"/>
              </w:rPr>
              <w:t>250</w:t>
            </w:r>
          </w:p>
        </w:tc>
        <w:tc>
          <w:tcPr>
            <w:tcW w:w="620" w:type="dxa"/>
            <w:noWrap/>
            <w:tcMar>
              <w:left w:w="0" w:type="dxa"/>
              <w:right w:w="0" w:type="dxa"/>
            </w:tcMar>
          </w:tcPr>
          <w:p w14:paraId="2972453F">
            <w:pPr>
              <w:pStyle w:val="39"/>
            </w:pPr>
            <w:r>
              <w:rPr>
                <w:rFonts w:hint="eastAsia"/>
              </w:rPr>
              <w:t>300</w:t>
            </w:r>
          </w:p>
        </w:tc>
        <w:tc>
          <w:tcPr>
            <w:tcW w:w="620" w:type="dxa"/>
            <w:noWrap/>
            <w:tcMar>
              <w:left w:w="0" w:type="dxa"/>
              <w:right w:w="0" w:type="dxa"/>
            </w:tcMar>
          </w:tcPr>
          <w:p w14:paraId="1FD753C9">
            <w:pPr>
              <w:pStyle w:val="39"/>
            </w:pPr>
            <w:r>
              <w:rPr>
                <w:rFonts w:hint="eastAsia"/>
              </w:rPr>
              <w:t>400</w:t>
            </w:r>
          </w:p>
        </w:tc>
        <w:tc>
          <w:tcPr>
            <w:tcW w:w="787" w:type="dxa"/>
            <w:noWrap/>
            <w:tcMar>
              <w:left w:w="0" w:type="dxa"/>
              <w:right w:w="0" w:type="dxa"/>
            </w:tcMar>
          </w:tcPr>
          <w:p w14:paraId="22B60DF4">
            <w:pPr>
              <w:pStyle w:val="39"/>
            </w:pPr>
            <w:r>
              <w:rPr>
                <w:rFonts w:hint="eastAsia"/>
              </w:rPr>
              <w:t>500</w:t>
            </w:r>
          </w:p>
        </w:tc>
      </w:tr>
      <w:tr w14:paraId="4BB19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761" w:type="dxa"/>
            <w:tcMar>
              <w:left w:w="0" w:type="dxa"/>
              <w:right w:w="0" w:type="dxa"/>
            </w:tcMar>
          </w:tcPr>
          <w:p w14:paraId="2DBC52A6">
            <w:pPr>
              <w:pStyle w:val="39"/>
            </w:pPr>
            <w:r>
              <w:rPr>
                <w:rFonts w:hint="eastAsia"/>
              </w:rPr>
              <w:t>轻型</w:t>
            </w:r>
          </w:p>
        </w:tc>
        <w:tc>
          <w:tcPr>
            <w:tcW w:w="619" w:type="dxa"/>
            <w:noWrap/>
            <w:tcMar>
              <w:left w:w="0" w:type="dxa"/>
              <w:right w:w="0" w:type="dxa"/>
            </w:tcMar>
          </w:tcPr>
          <w:p w14:paraId="2CBB68B9">
            <w:pPr>
              <w:pStyle w:val="39"/>
            </w:pPr>
          </w:p>
        </w:tc>
        <w:tc>
          <w:tcPr>
            <w:tcW w:w="619" w:type="dxa"/>
            <w:noWrap/>
            <w:tcMar>
              <w:left w:w="0" w:type="dxa"/>
              <w:right w:w="0" w:type="dxa"/>
            </w:tcMar>
          </w:tcPr>
          <w:p w14:paraId="2CAD4073">
            <w:pPr>
              <w:pStyle w:val="39"/>
            </w:pPr>
          </w:p>
        </w:tc>
        <w:tc>
          <w:tcPr>
            <w:tcW w:w="619" w:type="dxa"/>
            <w:noWrap/>
            <w:tcMar>
              <w:left w:w="0" w:type="dxa"/>
              <w:right w:w="0" w:type="dxa"/>
            </w:tcMar>
          </w:tcPr>
          <w:p w14:paraId="0D8E3AF2">
            <w:pPr>
              <w:pStyle w:val="39"/>
            </w:pPr>
          </w:p>
        </w:tc>
        <w:tc>
          <w:tcPr>
            <w:tcW w:w="619" w:type="dxa"/>
            <w:noWrap/>
            <w:tcMar>
              <w:left w:w="0" w:type="dxa"/>
              <w:right w:w="0" w:type="dxa"/>
            </w:tcMar>
          </w:tcPr>
          <w:p w14:paraId="24780E1D">
            <w:pPr>
              <w:pStyle w:val="39"/>
            </w:pPr>
          </w:p>
        </w:tc>
        <w:tc>
          <w:tcPr>
            <w:tcW w:w="620" w:type="dxa"/>
            <w:noWrap/>
            <w:tcMar>
              <w:left w:w="0" w:type="dxa"/>
              <w:right w:w="0" w:type="dxa"/>
            </w:tcMar>
          </w:tcPr>
          <w:p w14:paraId="2CC22ADB">
            <w:pPr>
              <w:pStyle w:val="39"/>
            </w:pPr>
          </w:p>
        </w:tc>
        <w:tc>
          <w:tcPr>
            <w:tcW w:w="620" w:type="dxa"/>
            <w:noWrap/>
            <w:tcMar>
              <w:left w:w="0" w:type="dxa"/>
              <w:right w:w="0" w:type="dxa"/>
            </w:tcMar>
          </w:tcPr>
          <w:p w14:paraId="2FF2CF81">
            <w:pPr>
              <w:pStyle w:val="39"/>
            </w:pPr>
          </w:p>
        </w:tc>
        <w:tc>
          <w:tcPr>
            <w:tcW w:w="620" w:type="dxa"/>
            <w:noWrap/>
            <w:tcMar>
              <w:left w:w="0" w:type="dxa"/>
              <w:right w:w="0" w:type="dxa"/>
            </w:tcMar>
          </w:tcPr>
          <w:p w14:paraId="110F4755">
            <w:pPr>
              <w:pStyle w:val="39"/>
            </w:pPr>
          </w:p>
        </w:tc>
        <w:tc>
          <w:tcPr>
            <w:tcW w:w="620" w:type="dxa"/>
            <w:noWrap/>
            <w:tcMar>
              <w:left w:w="0" w:type="dxa"/>
              <w:right w:w="0" w:type="dxa"/>
            </w:tcMar>
          </w:tcPr>
          <w:p w14:paraId="12303597">
            <w:pPr>
              <w:pStyle w:val="39"/>
            </w:pPr>
          </w:p>
        </w:tc>
        <w:tc>
          <w:tcPr>
            <w:tcW w:w="620" w:type="dxa"/>
            <w:noWrap/>
            <w:tcMar>
              <w:left w:w="0" w:type="dxa"/>
              <w:right w:w="0" w:type="dxa"/>
            </w:tcMar>
          </w:tcPr>
          <w:p w14:paraId="5E848DB0">
            <w:pPr>
              <w:pStyle w:val="39"/>
            </w:pPr>
          </w:p>
        </w:tc>
        <w:tc>
          <w:tcPr>
            <w:tcW w:w="620" w:type="dxa"/>
            <w:noWrap/>
            <w:tcMar>
              <w:left w:w="0" w:type="dxa"/>
              <w:right w:w="0" w:type="dxa"/>
            </w:tcMar>
          </w:tcPr>
          <w:p w14:paraId="1E3C7CBF">
            <w:pPr>
              <w:pStyle w:val="39"/>
            </w:pPr>
          </w:p>
        </w:tc>
        <w:tc>
          <w:tcPr>
            <w:tcW w:w="620" w:type="dxa"/>
            <w:noWrap/>
            <w:tcMar>
              <w:left w:w="0" w:type="dxa"/>
              <w:right w:w="0" w:type="dxa"/>
            </w:tcMar>
          </w:tcPr>
          <w:p w14:paraId="118A5CC5">
            <w:pPr>
              <w:pStyle w:val="39"/>
            </w:pPr>
          </w:p>
        </w:tc>
        <w:tc>
          <w:tcPr>
            <w:tcW w:w="787" w:type="dxa"/>
            <w:noWrap/>
            <w:tcMar>
              <w:left w:w="0" w:type="dxa"/>
              <w:right w:w="0" w:type="dxa"/>
            </w:tcMar>
          </w:tcPr>
          <w:p w14:paraId="04159995">
            <w:pPr>
              <w:pStyle w:val="39"/>
            </w:pPr>
          </w:p>
        </w:tc>
      </w:tr>
      <w:tr w14:paraId="47368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761" w:type="dxa"/>
            <w:noWrap/>
            <w:tcMar>
              <w:left w:w="0" w:type="dxa"/>
              <w:right w:w="0" w:type="dxa"/>
            </w:tcMar>
          </w:tcPr>
          <w:p w14:paraId="29C020BE">
            <w:pPr>
              <w:pStyle w:val="39"/>
            </w:pPr>
            <w:r>
              <w:rPr>
                <w:rFonts w:hint="eastAsia"/>
              </w:rPr>
              <w:t>小型</w:t>
            </w:r>
          </w:p>
        </w:tc>
        <w:tc>
          <w:tcPr>
            <w:tcW w:w="619" w:type="dxa"/>
            <w:noWrap/>
            <w:tcMar>
              <w:left w:w="0" w:type="dxa"/>
              <w:right w:w="0" w:type="dxa"/>
            </w:tcMar>
          </w:tcPr>
          <w:p w14:paraId="4AB4DA6F">
            <w:pPr>
              <w:pStyle w:val="39"/>
            </w:pPr>
          </w:p>
        </w:tc>
        <w:tc>
          <w:tcPr>
            <w:tcW w:w="619" w:type="dxa"/>
            <w:noWrap/>
            <w:tcMar>
              <w:left w:w="0" w:type="dxa"/>
              <w:right w:w="0" w:type="dxa"/>
            </w:tcMar>
          </w:tcPr>
          <w:p w14:paraId="172CC41F">
            <w:pPr>
              <w:pStyle w:val="39"/>
            </w:pPr>
          </w:p>
        </w:tc>
        <w:tc>
          <w:tcPr>
            <w:tcW w:w="619" w:type="dxa"/>
            <w:noWrap/>
            <w:tcMar>
              <w:left w:w="0" w:type="dxa"/>
              <w:right w:w="0" w:type="dxa"/>
            </w:tcMar>
          </w:tcPr>
          <w:p w14:paraId="2B6C8D0A">
            <w:pPr>
              <w:pStyle w:val="39"/>
            </w:pPr>
          </w:p>
        </w:tc>
        <w:tc>
          <w:tcPr>
            <w:tcW w:w="619" w:type="dxa"/>
            <w:noWrap/>
            <w:tcMar>
              <w:left w:w="0" w:type="dxa"/>
              <w:right w:w="0" w:type="dxa"/>
            </w:tcMar>
          </w:tcPr>
          <w:p w14:paraId="7E6B7FD0">
            <w:pPr>
              <w:pStyle w:val="39"/>
            </w:pPr>
          </w:p>
        </w:tc>
        <w:tc>
          <w:tcPr>
            <w:tcW w:w="620" w:type="dxa"/>
            <w:noWrap/>
            <w:tcMar>
              <w:left w:w="0" w:type="dxa"/>
              <w:right w:w="0" w:type="dxa"/>
            </w:tcMar>
          </w:tcPr>
          <w:p w14:paraId="7D133DD4">
            <w:pPr>
              <w:pStyle w:val="39"/>
            </w:pPr>
          </w:p>
        </w:tc>
        <w:tc>
          <w:tcPr>
            <w:tcW w:w="620" w:type="dxa"/>
            <w:noWrap/>
            <w:tcMar>
              <w:left w:w="0" w:type="dxa"/>
              <w:right w:w="0" w:type="dxa"/>
            </w:tcMar>
          </w:tcPr>
          <w:p w14:paraId="6637E42D">
            <w:pPr>
              <w:pStyle w:val="39"/>
            </w:pPr>
          </w:p>
        </w:tc>
        <w:tc>
          <w:tcPr>
            <w:tcW w:w="620" w:type="dxa"/>
            <w:noWrap/>
            <w:tcMar>
              <w:left w:w="0" w:type="dxa"/>
              <w:right w:w="0" w:type="dxa"/>
            </w:tcMar>
          </w:tcPr>
          <w:p w14:paraId="09397D6D">
            <w:pPr>
              <w:pStyle w:val="39"/>
            </w:pPr>
          </w:p>
        </w:tc>
        <w:tc>
          <w:tcPr>
            <w:tcW w:w="620" w:type="dxa"/>
            <w:noWrap/>
            <w:tcMar>
              <w:left w:w="0" w:type="dxa"/>
              <w:right w:w="0" w:type="dxa"/>
            </w:tcMar>
          </w:tcPr>
          <w:p w14:paraId="7D8D615C">
            <w:pPr>
              <w:pStyle w:val="39"/>
            </w:pPr>
          </w:p>
        </w:tc>
        <w:tc>
          <w:tcPr>
            <w:tcW w:w="620" w:type="dxa"/>
            <w:noWrap/>
            <w:tcMar>
              <w:left w:w="0" w:type="dxa"/>
              <w:right w:w="0" w:type="dxa"/>
            </w:tcMar>
          </w:tcPr>
          <w:p w14:paraId="33DD116A">
            <w:pPr>
              <w:pStyle w:val="39"/>
            </w:pPr>
          </w:p>
        </w:tc>
        <w:tc>
          <w:tcPr>
            <w:tcW w:w="620" w:type="dxa"/>
            <w:noWrap/>
            <w:tcMar>
              <w:left w:w="0" w:type="dxa"/>
              <w:right w:w="0" w:type="dxa"/>
            </w:tcMar>
          </w:tcPr>
          <w:p w14:paraId="42F1E740">
            <w:pPr>
              <w:pStyle w:val="39"/>
            </w:pPr>
          </w:p>
        </w:tc>
        <w:tc>
          <w:tcPr>
            <w:tcW w:w="620" w:type="dxa"/>
            <w:noWrap/>
            <w:tcMar>
              <w:left w:w="0" w:type="dxa"/>
              <w:right w:w="0" w:type="dxa"/>
            </w:tcMar>
          </w:tcPr>
          <w:p w14:paraId="554150A0">
            <w:pPr>
              <w:pStyle w:val="39"/>
            </w:pPr>
          </w:p>
        </w:tc>
        <w:tc>
          <w:tcPr>
            <w:tcW w:w="787" w:type="dxa"/>
            <w:noWrap/>
            <w:tcMar>
              <w:left w:w="0" w:type="dxa"/>
              <w:right w:w="0" w:type="dxa"/>
            </w:tcMar>
          </w:tcPr>
          <w:p w14:paraId="45BEE3D0">
            <w:pPr>
              <w:pStyle w:val="39"/>
            </w:pPr>
          </w:p>
        </w:tc>
      </w:tr>
      <w:tr w14:paraId="78734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1" w:type="dxa"/>
            <w:noWrap/>
            <w:tcMar>
              <w:left w:w="0" w:type="dxa"/>
              <w:right w:w="0" w:type="dxa"/>
            </w:tcMar>
          </w:tcPr>
          <w:p w14:paraId="12BF1107">
            <w:pPr>
              <w:pStyle w:val="39"/>
            </w:pPr>
            <w:r>
              <w:rPr>
                <w:rFonts w:hint="eastAsia"/>
              </w:rPr>
              <w:t>中型</w:t>
            </w:r>
          </w:p>
        </w:tc>
        <w:tc>
          <w:tcPr>
            <w:tcW w:w="619" w:type="dxa"/>
            <w:noWrap/>
            <w:tcMar>
              <w:left w:w="0" w:type="dxa"/>
              <w:right w:w="0" w:type="dxa"/>
            </w:tcMar>
          </w:tcPr>
          <w:p w14:paraId="46FD0705">
            <w:pPr>
              <w:pStyle w:val="39"/>
            </w:pPr>
          </w:p>
        </w:tc>
        <w:tc>
          <w:tcPr>
            <w:tcW w:w="619" w:type="dxa"/>
            <w:noWrap/>
            <w:tcMar>
              <w:left w:w="0" w:type="dxa"/>
              <w:right w:w="0" w:type="dxa"/>
            </w:tcMar>
          </w:tcPr>
          <w:p w14:paraId="74031D9C">
            <w:pPr>
              <w:pStyle w:val="39"/>
            </w:pPr>
          </w:p>
        </w:tc>
        <w:tc>
          <w:tcPr>
            <w:tcW w:w="619" w:type="dxa"/>
            <w:noWrap/>
            <w:tcMar>
              <w:left w:w="0" w:type="dxa"/>
              <w:right w:w="0" w:type="dxa"/>
            </w:tcMar>
          </w:tcPr>
          <w:p w14:paraId="3693DEDC">
            <w:pPr>
              <w:pStyle w:val="39"/>
            </w:pPr>
          </w:p>
        </w:tc>
        <w:tc>
          <w:tcPr>
            <w:tcW w:w="619" w:type="dxa"/>
            <w:noWrap/>
            <w:tcMar>
              <w:left w:w="0" w:type="dxa"/>
              <w:right w:w="0" w:type="dxa"/>
            </w:tcMar>
          </w:tcPr>
          <w:p w14:paraId="61D97B0E">
            <w:pPr>
              <w:pStyle w:val="39"/>
            </w:pPr>
          </w:p>
        </w:tc>
        <w:tc>
          <w:tcPr>
            <w:tcW w:w="620" w:type="dxa"/>
            <w:noWrap/>
            <w:tcMar>
              <w:left w:w="0" w:type="dxa"/>
              <w:right w:w="0" w:type="dxa"/>
            </w:tcMar>
          </w:tcPr>
          <w:p w14:paraId="6F52BFD2">
            <w:pPr>
              <w:pStyle w:val="39"/>
            </w:pPr>
          </w:p>
        </w:tc>
        <w:tc>
          <w:tcPr>
            <w:tcW w:w="620" w:type="dxa"/>
            <w:noWrap/>
            <w:tcMar>
              <w:left w:w="0" w:type="dxa"/>
              <w:right w:w="0" w:type="dxa"/>
            </w:tcMar>
          </w:tcPr>
          <w:p w14:paraId="5495BF2B">
            <w:pPr>
              <w:pStyle w:val="39"/>
            </w:pPr>
          </w:p>
        </w:tc>
        <w:tc>
          <w:tcPr>
            <w:tcW w:w="620" w:type="dxa"/>
            <w:noWrap/>
            <w:tcMar>
              <w:left w:w="0" w:type="dxa"/>
              <w:right w:w="0" w:type="dxa"/>
            </w:tcMar>
          </w:tcPr>
          <w:p w14:paraId="0FD3B369">
            <w:pPr>
              <w:pStyle w:val="39"/>
            </w:pPr>
          </w:p>
        </w:tc>
        <w:tc>
          <w:tcPr>
            <w:tcW w:w="620" w:type="dxa"/>
            <w:noWrap/>
            <w:tcMar>
              <w:left w:w="0" w:type="dxa"/>
              <w:right w:w="0" w:type="dxa"/>
            </w:tcMar>
          </w:tcPr>
          <w:p w14:paraId="47966E01">
            <w:pPr>
              <w:pStyle w:val="39"/>
            </w:pPr>
          </w:p>
        </w:tc>
        <w:tc>
          <w:tcPr>
            <w:tcW w:w="620" w:type="dxa"/>
            <w:noWrap/>
            <w:tcMar>
              <w:left w:w="0" w:type="dxa"/>
              <w:right w:w="0" w:type="dxa"/>
            </w:tcMar>
          </w:tcPr>
          <w:p w14:paraId="7106F24E">
            <w:pPr>
              <w:pStyle w:val="39"/>
            </w:pPr>
          </w:p>
        </w:tc>
        <w:tc>
          <w:tcPr>
            <w:tcW w:w="620" w:type="dxa"/>
            <w:noWrap/>
            <w:tcMar>
              <w:left w:w="0" w:type="dxa"/>
              <w:right w:w="0" w:type="dxa"/>
            </w:tcMar>
          </w:tcPr>
          <w:p w14:paraId="328A814A">
            <w:pPr>
              <w:pStyle w:val="39"/>
            </w:pPr>
          </w:p>
        </w:tc>
        <w:tc>
          <w:tcPr>
            <w:tcW w:w="620" w:type="dxa"/>
            <w:noWrap/>
            <w:tcMar>
              <w:left w:w="0" w:type="dxa"/>
              <w:right w:w="0" w:type="dxa"/>
            </w:tcMar>
          </w:tcPr>
          <w:p w14:paraId="068EBD8B">
            <w:pPr>
              <w:pStyle w:val="39"/>
            </w:pPr>
          </w:p>
        </w:tc>
        <w:tc>
          <w:tcPr>
            <w:tcW w:w="787" w:type="dxa"/>
            <w:noWrap/>
            <w:tcMar>
              <w:left w:w="0" w:type="dxa"/>
              <w:right w:w="0" w:type="dxa"/>
            </w:tcMar>
          </w:tcPr>
          <w:p w14:paraId="2D0A1FD1">
            <w:pPr>
              <w:pStyle w:val="39"/>
            </w:pPr>
          </w:p>
        </w:tc>
      </w:tr>
      <w:tr w14:paraId="2AAF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1" w:type="dxa"/>
            <w:noWrap/>
            <w:tcMar>
              <w:left w:w="0" w:type="dxa"/>
              <w:right w:w="0" w:type="dxa"/>
            </w:tcMar>
          </w:tcPr>
          <w:p w14:paraId="7AC71C6A">
            <w:pPr>
              <w:pStyle w:val="39"/>
            </w:pPr>
            <w:r>
              <w:rPr>
                <w:rFonts w:hint="eastAsia"/>
              </w:rPr>
              <w:t>大型</w:t>
            </w:r>
          </w:p>
        </w:tc>
        <w:tc>
          <w:tcPr>
            <w:tcW w:w="619" w:type="dxa"/>
            <w:noWrap/>
            <w:tcMar>
              <w:left w:w="0" w:type="dxa"/>
              <w:right w:w="0" w:type="dxa"/>
            </w:tcMar>
          </w:tcPr>
          <w:p w14:paraId="4399FA08">
            <w:pPr>
              <w:pStyle w:val="39"/>
            </w:pPr>
          </w:p>
        </w:tc>
        <w:tc>
          <w:tcPr>
            <w:tcW w:w="619" w:type="dxa"/>
            <w:noWrap/>
            <w:tcMar>
              <w:left w:w="0" w:type="dxa"/>
              <w:right w:w="0" w:type="dxa"/>
            </w:tcMar>
          </w:tcPr>
          <w:p w14:paraId="0519D190">
            <w:pPr>
              <w:pStyle w:val="39"/>
            </w:pPr>
          </w:p>
        </w:tc>
        <w:tc>
          <w:tcPr>
            <w:tcW w:w="619" w:type="dxa"/>
            <w:noWrap/>
            <w:tcMar>
              <w:left w:w="0" w:type="dxa"/>
              <w:right w:w="0" w:type="dxa"/>
            </w:tcMar>
          </w:tcPr>
          <w:p w14:paraId="4A892DD2">
            <w:pPr>
              <w:pStyle w:val="39"/>
            </w:pPr>
          </w:p>
        </w:tc>
        <w:tc>
          <w:tcPr>
            <w:tcW w:w="619" w:type="dxa"/>
            <w:noWrap/>
            <w:tcMar>
              <w:left w:w="0" w:type="dxa"/>
              <w:right w:w="0" w:type="dxa"/>
            </w:tcMar>
          </w:tcPr>
          <w:p w14:paraId="0BAFA716">
            <w:pPr>
              <w:pStyle w:val="39"/>
            </w:pPr>
          </w:p>
        </w:tc>
        <w:tc>
          <w:tcPr>
            <w:tcW w:w="620" w:type="dxa"/>
            <w:noWrap/>
            <w:tcMar>
              <w:left w:w="0" w:type="dxa"/>
              <w:right w:w="0" w:type="dxa"/>
            </w:tcMar>
          </w:tcPr>
          <w:p w14:paraId="6CA9A9A4">
            <w:pPr>
              <w:pStyle w:val="39"/>
            </w:pPr>
          </w:p>
        </w:tc>
        <w:tc>
          <w:tcPr>
            <w:tcW w:w="620" w:type="dxa"/>
            <w:noWrap/>
            <w:tcMar>
              <w:left w:w="0" w:type="dxa"/>
              <w:right w:w="0" w:type="dxa"/>
            </w:tcMar>
          </w:tcPr>
          <w:p w14:paraId="43DDF0B0">
            <w:pPr>
              <w:pStyle w:val="39"/>
            </w:pPr>
          </w:p>
        </w:tc>
        <w:tc>
          <w:tcPr>
            <w:tcW w:w="620" w:type="dxa"/>
            <w:noWrap/>
            <w:tcMar>
              <w:left w:w="0" w:type="dxa"/>
              <w:right w:w="0" w:type="dxa"/>
            </w:tcMar>
          </w:tcPr>
          <w:p w14:paraId="3467705F">
            <w:pPr>
              <w:pStyle w:val="39"/>
            </w:pPr>
          </w:p>
        </w:tc>
        <w:tc>
          <w:tcPr>
            <w:tcW w:w="620" w:type="dxa"/>
            <w:noWrap/>
            <w:tcMar>
              <w:left w:w="0" w:type="dxa"/>
              <w:right w:w="0" w:type="dxa"/>
            </w:tcMar>
          </w:tcPr>
          <w:p w14:paraId="7F4EBD95">
            <w:pPr>
              <w:pStyle w:val="39"/>
            </w:pPr>
          </w:p>
        </w:tc>
        <w:tc>
          <w:tcPr>
            <w:tcW w:w="620" w:type="dxa"/>
            <w:noWrap/>
            <w:tcMar>
              <w:left w:w="0" w:type="dxa"/>
              <w:right w:w="0" w:type="dxa"/>
            </w:tcMar>
          </w:tcPr>
          <w:p w14:paraId="0ACBEB80">
            <w:pPr>
              <w:pStyle w:val="39"/>
            </w:pPr>
          </w:p>
        </w:tc>
        <w:tc>
          <w:tcPr>
            <w:tcW w:w="620" w:type="dxa"/>
            <w:noWrap/>
            <w:tcMar>
              <w:left w:w="0" w:type="dxa"/>
              <w:right w:w="0" w:type="dxa"/>
            </w:tcMar>
          </w:tcPr>
          <w:p w14:paraId="4C165668">
            <w:pPr>
              <w:pStyle w:val="39"/>
            </w:pPr>
          </w:p>
        </w:tc>
        <w:tc>
          <w:tcPr>
            <w:tcW w:w="620" w:type="dxa"/>
            <w:noWrap/>
            <w:tcMar>
              <w:left w:w="0" w:type="dxa"/>
              <w:right w:w="0" w:type="dxa"/>
            </w:tcMar>
          </w:tcPr>
          <w:p w14:paraId="0FFDA382">
            <w:pPr>
              <w:pStyle w:val="39"/>
            </w:pPr>
          </w:p>
        </w:tc>
        <w:tc>
          <w:tcPr>
            <w:tcW w:w="787" w:type="dxa"/>
            <w:noWrap/>
            <w:tcMar>
              <w:left w:w="0" w:type="dxa"/>
              <w:right w:w="0" w:type="dxa"/>
            </w:tcMar>
          </w:tcPr>
          <w:p w14:paraId="10766FE5">
            <w:pPr>
              <w:pStyle w:val="39"/>
            </w:pPr>
          </w:p>
        </w:tc>
      </w:tr>
      <w:tr w14:paraId="3E6C0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1" w:type="dxa"/>
            <w:noWrap/>
            <w:tcMar>
              <w:left w:w="0" w:type="dxa"/>
              <w:right w:w="0" w:type="dxa"/>
            </w:tcMar>
          </w:tcPr>
          <w:p w14:paraId="26948C56">
            <w:pPr>
              <w:pStyle w:val="39"/>
            </w:pPr>
            <w:r>
              <w:rPr>
                <w:rFonts w:hint="eastAsia"/>
              </w:rPr>
              <w:t>特大型</w:t>
            </w:r>
          </w:p>
        </w:tc>
        <w:tc>
          <w:tcPr>
            <w:tcW w:w="619" w:type="dxa"/>
            <w:noWrap/>
            <w:tcMar>
              <w:left w:w="0" w:type="dxa"/>
              <w:right w:w="0" w:type="dxa"/>
            </w:tcMar>
          </w:tcPr>
          <w:p w14:paraId="2BD873B2">
            <w:pPr>
              <w:pStyle w:val="39"/>
            </w:pPr>
          </w:p>
        </w:tc>
        <w:tc>
          <w:tcPr>
            <w:tcW w:w="619" w:type="dxa"/>
            <w:noWrap/>
            <w:tcMar>
              <w:left w:w="0" w:type="dxa"/>
              <w:right w:w="0" w:type="dxa"/>
            </w:tcMar>
          </w:tcPr>
          <w:p w14:paraId="29DB2CD6">
            <w:pPr>
              <w:pStyle w:val="39"/>
            </w:pPr>
          </w:p>
        </w:tc>
        <w:tc>
          <w:tcPr>
            <w:tcW w:w="619" w:type="dxa"/>
            <w:noWrap/>
            <w:tcMar>
              <w:left w:w="0" w:type="dxa"/>
              <w:right w:w="0" w:type="dxa"/>
            </w:tcMar>
          </w:tcPr>
          <w:p w14:paraId="5853D7EC">
            <w:pPr>
              <w:pStyle w:val="39"/>
            </w:pPr>
          </w:p>
        </w:tc>
        <w:tc>
          <w:tcPr>
            <w:tcW w:w="619" w:type="dxa"/>
            <w:noWrap/>
            <w:tcMar>
              <w:left w:w="0" w:type="dxa"/>
              <w:right w:w="0" w:type="dxa"/>
            </w:tcMar>
          </w:tcPr>
          <w:p w14:paraId="238F4BD5">
            <w:pPr>
              <w:pStyle w:val="39"/>
            </w:pPr>
          </w:p>
        </w:tc>
        <w:tc>
          <w:tcPr>
            <w:tcW w:w="620" w:type="dxa"/>
            <w:noWrap/>
            <w:tcMar>
              <w:left w:w="0" w:type="dxa"/>
              <w:right w:w="0" w:type="dxa"/>
            </w:tcMar>
          </w:tcPr>
          <w:p w14:paraId="4B5CEEB7">
            <w:pPr>
              <w:pStyle w:val="39"/>
            </w:pPr>
          </w:p>
        </w:tc>
        <w:tc>
          <w:tcPr>
            <w:tcW w:w="620" w:type="dxa"/>
            <w:noWrap/>
            <w:tcMar>
              <w:left w:w="0" w:type="dxa"/>
              <w:right w:w="0" w:type="dxa"/>
            </w:tcMar>
          </w:tcPr>
          <w:p w14:paraId="473EAF22">
            <w:pPr>
              <w:pStyle w:val="39"/>
            </w:pPr>
          </w:p>
        </w:tc>
        <w:tc>
          <w:tcPr>
            <w:tcW w:w="620" w:type="dxa"/>
            <w:noWrap/>
            <w:tcMar>
              <w:left w:w="0" w:type="dxa"/>
              <w:right w:w="0" w:type="dxa"/>
            </w:tcMar>
          </w:tcPr>
          <w:p w14:paraId="4AD17E39">
            <w:pPr>
              <w:pStyle w:val="39"/>
            </w:pPr>
          </w:p>
        </w:tc>
        <w:tc>
          <w:tcPr>
            <w:tcW w:w="620" w:type="dxa"/>
            <w:noWrap/>
            <w:tcMar>
              <w:left w:w="0" w:type="dxa"/>
              <w:right w:w="0" w:type="dxa"/>
            </w:tcMar>
          </w:tcPr>
          <w:p w14:paraId="61E42680">
            <w:pPr>
              <w:pStyle w:val="39"/>
            </w:pPr>
          </w:p>
        </w:tc>
        <w:tc>
          <w:tcPr>
            <w:tcW w:w="620" w:type="dxa"/>
            <w:noWrap/>
            <w:tcMar>
              <w:left w:w="0" w:type="dxa"/>
              <w:right w:w="0" w:type="dxa"/>
            </w:tcMar>
          </w:tcPr>
          <w:p w14:paraId="08A5D585">
            <w:pPr>
              <w:pStyle w:val="39"/>
            </w:pPr>
          </w:p>
        </w:tc>
        <w:tc>
          <w:tcPr>
            <w:tcW w:w="620" w:type="dxa"/>
            <w:noWrap/>
            <w:tcMar>
              <w:left w:w="0" w:type="dxa"/>
              <w:right w:w="0" w:type="dxa"/>
            </w:tcMar>
          </w:tcPr>
          <w:p w14:paraId="5CFCFAB3">
            <w:pPr>
              <w:pStyle w:val="39"/>
            </w:pPr>
          </w:p>
        </w:tc>
        <w:tc>
          <w:tcPr>
            <w:tcW w:w="620" w:type="dxa"/>
            <w:noWrap/>
            <w:tcMar>
              <w:left w:w="0" w:type="dxa"/>
              <w:right w:w="0" w:type="dxa"/>
            </w:tcMar>
          </w:tcPr>
          <w:p w14:paraId="702A8562">
            <w:pPr>
              <w:pStyle w:val="39"/>
            </w:pPr>
          </w:p>
        </w:tc>
        <w:tc>
          <w:tcPr>
            <w:tcW w:w="787" w:type="dxa"/>
            <w:noWrap/>
            <w:tcMar>
              <w:left w:w="0" w:type="dxa"/>
              <w:right w:w="0" w:type="dxa"/>
            </w:tcMar>
          </w:tcPr>
          <w:p w14:paraId="2A4BF112">
            <w:pPr>
              <w:pStyle w:val="39"/>
            </w:pPr>
          </w:p>
        </w:tc>
      </w:tr>
    </w:tbl>
    <w:p w14:paraId="520B4772">
      <w:pPr>
        <w:spacing w:before="156"/>
        <w:ind w:firstLine="480"/>
        <w:rPr>
          <w:rFonts w:cs="Times New Roman"/>
          <w:szCs w:val="24"/>
        </w:rPr>
      </w:pPr>
      <w:r>
        <w:rPr>
          <w:rFonts w:hint="eastAsia" w:cs="Times New Roman"/>
          <w:szCs w:val="24"/>
        </w:rPr>
        <w:t>注：中间数值可按线性插值方法计算。</w:t>
      </w:r>
    </w:p>
    <w:p w14:paraId="15C0CEF0">
      <w:pPr>
        <w:spacing w:before="156"/>
        <w:ind w:firstLine="480"/>
        <w:rPr>
          <w:rFonts w:cs="Times New Roman"/>
          <w:szCs w:val="24"/>
        </w:rPr>
      </w:pPr>
      <w:r>
        <w:rPr>
          <w:rFonts w:hint="eastAsia" w:cs="Times New Roman"/>
          <w:szCs w:val="24"/>
        </w:rPr>
        <w:t>2按照表</w:t>
      </w:r>
      <w:r>
        <w:rPr>
          <w:rFonts w:hint="eastAsia"/>
        </w:rPr>
        <w:t>A</w:t>
      </w:r>
      <w:r>
        <w:t>.2.5</w:t>
      </w:r>
      <w:r>
        <w:rPr>
          <w:rFonts w:hint="eastAsia"/>
        </w:rPr>
        <w:t>-1</w:t>
      </w:r>
      <w:r>
        <w:rPr>
          <w:rFonts w:hint="eastAsia" w:cs="Times New Roman"/>
          <w:szCs w:val="24"/>
        </w:rPr>
        <w:t>查到的振动速度应根据地基土类别的不同，按照下式进行修正。</w:t>
      </w:r>
    </w:p>
    <w:p w14:paraId="20CF7D98">
      <w:pPr>
        <w:spacing w:before="156"/>
        <w:ind w:firstLine="480"/>
        <w:jc w:val="right"/>
        <w:rPr>
          <w:rFonts w:cs="Times New Roman"/>
          <w:szCs w:val="24"/>
        </w:rPr>
      </w:pPr>
      <m:oMath>
        <m:sSub>
          <m:sSubPr>
            <m:ctrlPr>
              <w:rPr>
                <w:rFonts w:ascii="Cambria Math" w:hAnsi="Cambria Math" w:cs="Times New Roman"/>
                <w:szCs w:val="24"/>
              </w:rPr>
            </m:ctrlPr>
          </m:sSubPr>
          <m:e>
            <m:r>
              <m:rPr/>
              <w:rPr>
                <w:rFonts w:ascii="Cambria Math" w:hAnsi="Cambria Math" w:cs="Times New Roman"/>
                <w:szCs w:val="24"/>
              </w:rPr>
              <m:t>v</m:t>
            </m:r>
            <m:ctrlPr>
              <w:rPr>
                <w:rFonts w:ascii="Cambria Math" w:hAnsi="Cambria Math" w:cs="Times New Roman"/>
                <w:szCs w:val="24"/>
              </w:rPr>
            </m:ctrlPr>
          </m:e>
          <m:sub>
            <m:r>
              <m:rPr/>
              <w:rPr>
                <w:rFonts w:ascii="Cambria Math" w:hAnsi="Cambria Math" w:cs="Times New Roman"/>
                <w:szCs w:val="24"/>
              </w:rPr>
              <m:t>r1</m:t>
            </m:r>
            <m:ctrlPr>
              <w:rPr>
                <w:rFonts w:ascii="Cambria Math" w:hAnsi="Cambria Math" w:cs="Times New Roman"/>
                <w:szCs w:val="24"/>
              </w:rPr>
            </m:ctrlPr>
          </m:sub>
        </m:sSub>
        <m:r>
          <m:rPr/>
          <w:rPr>
            <w:rFonts w:ascii="Cambria Math" w:hAnsi="Cambria Math" w:cs="Times New Roman"/>
            <w:szCs w:val="24"/>
          </w:rPr>
          <m:t>=</m:t>
        </m:r>
        <m:sSub>
          <m:sSubPr>
            <m:ctrlPr>
              <w:rPr>
                <w:rFonts w:ascii="Cambria Math" w:hAnsi="Cambria Math" w:cs="Times New Roman"/>
                <w:i/>
                <w:szCs w:val="24"/>
              </w:rPr>
            </m:ctrlPr>
          </m:sSubPr>
          <m:e>
            <m:r>
              <m:rPr/>
              <w:rPr>
                <w:rFonts w:hint="eastAsia" w:ascii="Cambria Math" w:hAnsi="Cambria Math" w:cs="Times New Roman"/>
                <w:szCs w:val="24"/>
              </w:rPr>
              <m:t>k</m:t>
            </m:r>
            <m:ctrlPr>
              <w:rPr>
                <w:rFonts w:ascii="Cambria Math" w:hAnsi="Cambria Math" w:cs="Times New Roman"/>
                <w:i/>
                <w:szCs w:val="24"/>
              </w:rPr>
            </m:ctrlPr>
          </m:e>
          <m:sub>
            <m:r>
              <m:rPr/>
              <w:rPr>
                <w:rFonts w:ascii="Cambria Math" w:hAnsi="Cambria Math" w:cs="Times New Roman"/>
                <w:szCs w:val="24"/>
              </w:rPr>
              <m:t>s</m:t>
            </m:r>
            <m:ctrlPr>
              <w:rPr>
                <w:rFonts w:ascii="Cambria Math" w:hAnsi="Cambria Math" w:cs="Times New Roman"/>
                <w:i/>
                <w:szCs w:val="24"/>
              </w:rPr>
            </m:ctrlPr>
          </m:sub>
        </m:sSub>
        <m:sSub>
          <m:sSubPr>
            <m:ctrlPr>
              <w:rPr>
                <w:rFonts w:ascii="Cambria Math" w:hAnsi="Cambria Math" w:cs="Times New Roman"/>
                <w:i/>
                <w:szCs w:val="24"/>
              </w:rPr>
            </m:ctrlPr>
          </m:sSubPr>
          <m:e>
            <m:r>
              <m:rPr/>
              <w:rPr>
                <w:rFonts w:ascii="Cambria Math" w:hAnsi="Cambria Math" w:cs="Times New Roman"/>
                <w:szCs w:val="24"/>
              </w:rPr>
              <m:t>v</m:t>
            </m:r>
            <m:ctrlPr>
              <w:rPr>
                <w:rFonts w:ascii="Cambria Math" w:hAnsi="Cambria Math" w:cs="Times New Roman"/>
                <w:i/>
                <w:szCs w:val="24"/>
              </w:rPr>
            </m:ctrlPr>
          </m:e>
          <m:sub>
            <m:r>
              <m:rPr/>
              <w:rPr>
                <w:rFonts w:hint="eastAsia" w:ascii="Cambria Math" w:hAnsi="Cambria Math" w:cs="Times New Roman"/>
                <w:szCs w:val="24"/>
              </w:rPr>
              <m:t>r</m:t>
            </m:r>
            <m:ctrlPr>
              <w:rPr>
                <w:rFonts w:ascii="Cambria Math" w:hAnsi="Cambria Math" w:cs="Times New Roman"/>
                <w:i/>
                <w:szCs w:val="24"/>
              </w:rPr>
            </m:ctrlPr>
          </m:sub>
        </m:sSub>
      </m:oMath>
      <w:r>
        <w:rPr>
          <w:rFonts w:cs="Times New Roman"/>
          <w:szCs w:val="24"/>
        </w:rPr>
        <w:t xml:space="preserve">                       </w:t>
      </w:r>
      <w:r>
        <w:rPr>
          <w:rFonts w:hint="eastAsia" w:cs="Times New Roman"/>
          <w:szCs w:val="24"/>
        </w:rPr>
        <w:t>（</w:t>
      </w:r>
      <w:r>
        <w:rPr>
          <w:rFonts w:hint="eastAsia"/>
        </w:rPr>
        <w:t>A</w:t>
      </w:r>
      <w:r>
        <w:t>.2.5</w:t>
      </w:r>
      <w:r>
        <w:rPr>
          <w:rFonts w:hint="eastAsia" w:cs="Times New Roman"/>
          <w:szCs w:val="24"/>
        </w:rPr>
        <w:t>）</w:t>
      </w:r>
    </w:p>
    <w:p w14:paraId="5311F0BB">
      <w:pPr>
        <w:spacing w:before="156"/>
        <w:ind w:firstLine="480"/>
        <w:rPr>
          <w:rFonts w:cs="Times New Roman"/>
          <w:szCs w:val="24"/>
        </w:rPr>
      </w:pPr>
      <w:r>
        <w:rPr>
          <w:rFonts w:hint="eastAsia" w:cs="Times New Roman"/>
          <w:szCs w:val="24"/>
        </w:rPr>
        <w:t>式中，</w:t>
      </w:r>
      <m:oMath>
        <m:sSub>
          <m:sSubPr>
            <m:ctrlPr>
              <w:rPr>
                <w:rFonts w:ascii="Cambria Math" w:hAnsi="Cambria Math" w:cs="Times New Roman"/>
                <w:szCs w:val="24"/>
              </w:rPr>
            </m:ctrlPr>
          </m:sSubPr>
          <m:e>
            <m:r>
              <m:rPr/>
              <w:rPr>
                <w:rFonts w:ascii="Cambria Math" w:hAnsi="Cambria Math" w:cs="Times New Roman"/>
                <w:szCs w:val="24"/>
              </w:rPr>
              <m:t>v</m:t>
            </m:r>
            <m:ctrlPr>
              <w:rPr>
                <w:rFonts w:ascii="Cambria Math" w:hAnsi="Cambria Math" w:cs="Times New Roman"/>
                <w:szCs w:val="24"/>
              </w:rPr>
            </m:ctrlPr>
          </m:e>
          <m:sub>
            <m:r>
              <m:rPr/>
              <w:rPr>
                <w:rFonts w:ascii="Cambria Math" w:hAnsi="Cambria Math" w:cs="Times New Roman"/>
                <w:szCs w:val="24"/>
              </w:rPr>
              <m:t>r1</m:t>
            </m:r>
            <m:ctrlPr>
              <w:rPr>
                <w:rFonts w:ascii="Cambria Math" w:hAnsi="Cambria Math" w:cs="Times New Roman"/>
                <w:szCs w:val="24"/>
              </w:rPr>
            </m:ctrlPr>
          </m:sub>
        </m:sSub>
      </m:oMath>
      <w:r>
        <w:rPr>
          <w:rFonts w:cs="Times New Roman"/>
          <w:szCs w:val="24"/>
        </w:rPr>
        <w:t>—</w:t>
      </w:r>
      <w:r>
        <w:rPr>
          <w:rFonts w:hint="eastAsia" w:cs="Times New Roman"/>
          <w:szCs w:val="24"/>
        </w:rPr>
        <w:t>修正后地面振动速度</w:t>
      </w:r>
      <m:oMath>
        <m:d>
          <m:dPr>
            <m:ctrlPr>
              <w:rPr>
                <w:rFonts w:ascii="Cambria Math" w:hAnsi="Cambria Math" w:cs="Times New Roman"/>
                <w:szCs w:val="24"/>
              </w:rPr>
            </m:ctrlPr>
          </m:dPr>
          <m:e>
            <m:r>
              <m:rPr/>
              <w:rPr>
                <w:rFonts w:hint="eastAsia" w:ascii="Cambria Math" w:hAnsi="Cambria Math" w:cs="Times New Roman"/>
                <w:szCs w:val="24"/>
              </w:rPr>
              <m:t>mm</m:t>
            </m:r>
            <m:r>
              <m:rPr/>
              <w:rPr>
                <w:rFonts w:ascii="Cambria Math" w:hAnsi="Cambria Math" w:cs="Times New Roman"/>
                <w:szCs w:val="24"/>
              </w:rPr>
              <m:t>/s</m:t>
            </m:r>
            <m:ctrlPr>
              <w:rPr>
                <w:rFonts w:ascii="Cambria Math" w:hAnsi="Cambria Math" w:cs="Times New Roman"/>
                <w:szCs w:val="24"/>
              </w:rPr>
            </m:ctrlPr>
          </m:e>
        </m:d>
      </m:oMath>
      <w:r>
        <w:rPr>
          <w:rFonts w:hint="eastAsia" w:cs="Times New Roman"/>
          <w:szCs w:val="24"/>
        </w:rPr>
        <w:t>；</w:t>
      </w:r>
    </w:p>
    <w:p w14:paraId="724D1ED5">
      <w:pPr>
        <w:spacing w:before="156"/>
        <w:ind w:firstLine="480"/>
        <w:rPr>
          <w:rFonts w:cs="Times New Roman"/>
          <w:szCs w:val="24"/>
        </w:rPr>
      </w:pPr>
      <m:oMath>
        <m:sSub>
          <m:sSubPr>
            <m:ctrlPr>
              <w:rPr>
                <w:rFonts w:ascii="Cambria Math" w:hAnsi="Cambria Math" w:cs="Times New Roman"/>
                <w:i/>
                <w:szCs w:val="24"/>
              </w:rPr>
            </m:ctrlPr>
          </m:sSubPr>
          <m:e>
            <m:r>
              <m:rPr/>
              <w:rPr>
                <w:rFonts w:ascii="Cambria Math" w:hAnsi="Cambria Math" w:cs="Times New Roman"/>
                <w:szCs w:val="24"/>
              </w:rPr>
              <m:t>k</m:t>
            </m:r>
            <m:ctrlPr>
              <w:rPr>
                <w:rFonts w:ascii="Cambria Math" w:hAnsi="Cambria Math" w:cs="Times New Roman"/>
                <w:i/>
                <w:szCs w:val="24"/>
              </w:rPr>
            </m:ctrlPr>
          </m:e>
          <m:sub>
            <m:r>
              <m:rPr/>
              <w:rPr>
                <w:rFonts w:ascii="Cambria Math" w:hAnsi="Cambria Math" w:cs="Times New Roman"/>
                <w:szCs w:val="24"/>
              </w:rPr>
              <m:t>s</m:t>
            </m:r>
            <m:ctrlPr>
              <w:rPr>
                <w:rFonts w:ascii="Cambria Math" w:hAnsi="Cambria Math" w:cs="Times New Roman"/>
                <w:i/>
                <w:szCs w:val="24"/>
              </w:rPr>
            </m:ctrlPr>
          </m:sub>
        </m:sSub>
      </m:oMath>
      <w:r>
        <w:rPr>
          <w:rFonts w:cs="Times New Roman"/>
          <w:szCs w:val="24"/>
        </w:rPr>
        <w:t>—</w:t>
      </w:r>
      <w:r>
        <w:rPr>
          <w:rFonts w:hint="eastAsia" w:cs="Times New Roman"/>
          <w:szCs w:val="24"/>
        </w:rPr>
        <w:t>土类别修正系数，按照表</w:t>
      </w:r>
      <w:r>
        <w:rPr>
          <w:rFonts w:hint="eastAsia"/>
        </w:rPr>
        <w:t>A</w:t>
      </w:r>
      <w:r>
        <w:t>.2.5</w:t>
      </w:r>
      <w:r>
        <w:rPr>
          <w:rFonts w:hint="eastAsia"/>
        </w:rPr>
        <w:t>-2</w:t>
      </w:r>
      <w:r>
        <w:rPr>
          <w:rFonts w:hint="eastAsia" w:cs="Times New Roman"/>
          <w:szCs w:val="24"/>
        </w:rPr>
        <w:t>选取。</w:t>
      </w:r>
    </w:p>
    <w:p w14:paraId="13A4B69C">
      <w:pPr>
        <w:pStyle w:val="39"/>
      </w:pPr>
      <w:r>
        <w:rPr>
          <w:rFonts w:hint="eastAsia"/>
        </w:rPr>
        <w:t>表A</w:t>
      </w:r>
      <w:r>
        <w:t>.2.5</w:t>
      </w:r>
      <w:r>
        <w:rPr>
          <w:rFonts w:hint="eastAsia"/>
        </w:rPr>
        <w:t>-2</w:t>
      </w:r>
      <w:r>
        <w:t xml:space="preserve"> </w:t>
      </w:r>
      <w:r>
        <w:rPr>
          <w:rFonts w:hint="eastAsia"/>
        </w:rPr>
        <w:t>土类别修正系数</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382"/>
        <w:gridCol w:w="1383"/>
        <w:gridCol w:w="1383"/>
        <w:gridCol w:w="1383"/>
        <w:gridCol w:w="1383"/>
      </w:tblGrid>
      <w:tr w14:paraId="69652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14:paraId="30FE416F">
            <w:pPr>
              <w:pStyle w:val="39"/>
            </w:pPr>
            <w:r>
              <w:rPr>
                <w:rFonts w:hint="eastAsia"/>
              </w:rPr>
              <w:t>土类别</w:t>
            </w:r>
          </w:p>
        </w:tc>
        <w:tc>
          <w:tcPr>
            <w:tcW w:w="1382" w:type="dxa"/>
            <w:vAlign w:val="center"/>
          </w:tcPr>
          <w:p w14:paraId="25211319">
            <w:pPr>
              <w:pStyle w:val="39"/>
            </w:pPr>
            <w:r>
              <w:rPr>
                <w:rFonts w:hint="eastAsia"/>
              </w:rPr>
              <w:t>淤泥质土</w:t>
            </w:r>
          </w:p>
        </w:tc>
        <w:tc>
          <w:tcPr>
            <w:tcW w:w="1383" w:type="dxa"/>
            <w:vAlign w:val="center"/>
          </w:tcPr>
          <w:p w14:paraId="00E65C69">
            <w:pPr>
              <w:pStyle w:val="39"/>
            </w:pPr>
            <w:r>
              <w:rPr>
                <w:rFonts w:hint="eastAsia"/>
              </w:rPr>
              <w:t>黏土</w:t>
            </w:r>
          </w:p>
        </w:tc>
        <w:tc>
          <w:tcPr>
            <w:tcW w:w="1383" w:type="dxa"/>
            <w:vAlign w:val="center"/>
          </w:tcPr>
          <w:p w14:paraId="2073CFB5">
            <w:pPr>
              <w:pStyle w:val="39"/>
            </w:pPr>
            <w:r>
              <w:rPr>
                <w:rFonts w:hint="eastAsia"/>
              </w:rPr>
              <w:t>坚硬土</w:t>
            </w:r>
          </w:p>
        </w:tc>
        <w:tc>
          <w:tcPr>
            <w:tcW w:w="1383" w:type="dxa"/>
            <w:vAlign w:val="center"/>
          </w:tcPr>
          <w:p w14:paraId="15F42900">
            <w:pPr>
              <w:pStyle w:val="39"/>
            </w:pPr>
            <w:r>
              <w:rPr>
                <w:rFonts w:hint="eastAsia"/>
              </w:rPr>
              <w:t>岩石</w:t>
            </w:r>
          </w:p>
        </w:tc>
        <w:tc>
          <w:tcPr>
            <w:tcW w:w="1383" w:type="dxa"/>
            <w:vAlign w:val="center"/>
          </w:tcPr>
          <w:p w14:paraId="52D5A699">
            <w:pPr>
              <w:pStyle w:val="39"/>
            </w:pPr>
            <w:r>
              <w:rPr>
                <w:rFonts w:hint="eastAsia"/>
              </w:rPr>
              <w:t>桩基</w:t>
            </w:r>
          </w:p>
        </w:tc>
      </w:tr>
      <w:tr w14:paraId="35622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14:paraId="68FA4F17">
            <w:pPr>
              <w:pStyle w:val="39"/>
            </w:pPr>
            <m:oMathPara>
              <m:oMath>
                <m:sSub>
                  <m:sSubPr/>
                  <m:e>
                    <m:r>
                      <m:rPr/>
                      <w:rPr>
                        <w:rFonts w:hint="eastAsia"/>
                      </w:rPr>
                      <m:t>k</m:t>
                    </m:r>
                  </m:e>
                  <m:sub>
                    <m:r>
                      <m:rPr/>
                      <m:t>s</m:t>
                    </m:r>
                  </m:sub>
                </m:sSub>
              </m:oMath>
            </m:oMathPara>
          </w:p>
        </w:tc>
        <w:tc>
          <w:tcPr>
            <w:tcW w:w="1382" w:type="dxa"/>
            <w:vAlign w:val="center"/>
          </w:tcPr>
          <w:p w14:paraId="65B90423">
            <w:pPr>
              <w:pStyle w:val="39"/>
            </w:pPr>
            <w:r>
              <w:t>1.5~2.0</w:t>
            </w:r>
          </w:p>
        </w:tc>
        <w:tc>
          <w:tcPr>
            <w:tcW w:w="1383" w:type="dxa"/>
            <w:vAlign w:val="center"/>
          </w:tcPr>
          <w:p w14:paraId="05E0AA4E">
            <w:pPr>
              <w:pStyle w:val="39"/>
            </w:pPr>
            <w:r>
              <w:t>0.9~1.1</w:t>
            </w:r>
          </w:p>
        </w:tc>
        <w:tc>
          <w:tcPr>
            <w:tcW w:w="1383" w:type="dxa"/>
            <w:vAlign w:val="center"/>
          </w:tcPr>
          <w:p w14:paraId="16F221EB">
            <w:pPr>
              <w:pStyle w:val="39"/>
            </w:pPr>
            <w:r>
              <w:t>0.6~0.8</w:t>
            </w:r>
          </w:p>
        </w:tc>
        <w:tc>
          <w:tcPr>
            <w:tcW w:w="1383" w:type="dxa"/>
            <w:vAlign w:val="center"/>
          </w:tcPr>
          <w:p w14:paraId="620BF4F5">
            <w:pPr>
              <w:pStyle w:val="39"/>
            </w:pPr>
            <w:r>
              <w:t>0.3~0.6</w:t>
            </w:r>
          </w:p>
        </w:tc>
        <w:tc>
          <w:tcPr>
            <w:tcW w:w="1383" w:type="dxa"/>
            <w:vAlign w:val="center"/>
          </w:tcPr>
          <w:p w14:paraId="7FC14ADE">
            <w:pPr>
              <w:pStyle w:val="39"/>
            </w:pPr>
            <w:r>
              <w:t>07~0.9</w:t>
            </w:r>
          </w:p>
        </w:tc>
      </w:tr>
    </w:tbl>
    <w:p w14:paraId="63180D1E">
      <w:pPr>
        <w:pStyle w:val="4"/>
        <w:spacing w:before="156"/>
        <w:rPr>
          <w:b/>
        </w:rPr>
      </w:pPr>
      <w:bookmarkStart w:id="15" w:name="_Toc206578612"/>
      <w:r>
        <w:rPr>
          <w:rFonts w:hint="eastAsia"/>
        </w:rPr>
        <w:t>A.</w:t>
      </w:r>
      <w:r>
        <w:t>3　</w:t>
      </w:r>
      <w:r>
        <w:rPr>
          <w:rFonts w:hint="eastAsia"/>
        </w:rPr>
        <w:t>报告编制</w:t>
      </w:r>
      <w:bookmarkEnd w:id="15"/>
    </w:p>
    <w:p w14:paraId="2CBC2585">
      <w:pPr>
        <w:spacing w:before="156" w:line="360" w:lineRule="auto"/>
        <w:ind w:firstLine="482"/>
        <w:rPr>
          <w:rFonts w:cs="Times New Roman"/>
        </w:rPr>
      </w:pPr>
      <w:r>
        <w:rPr>
          <w:rFonts w:hint="eastAsia" w:cs="Times New Roman"/>
          <w:b/>
          <w:bCs/>
        </w:rPr>
        <w:t>A.3</w:t>
      </w:r>
      <w:r>
        <w:rPr>
          <w:rFonts w:cs="Times New Roman"/>
          <w:b/>
          <w:bCs/>
        </w:rPr>
        <w:t>.1　</w:t>
      </w:r>
      <w:r>
        <w:rPr>
          <w:rFonts w:hint="eastAsia" w:cs="Times New Roman"/>
        </w:rPr>
        <w:t>对锻锤振动</w:t>
      </w:r>
      <w:r>
        <w:rPr>
          <w:rFonts w:cs="Times New Roman"/>
          <w:color w:val="000000" w:themeColor="text1"/>
          <w14:textFill>
            <w14:solidFill>
              <w14:schemeClr w14:val="tx1"/>
            </w14:solidFill>
          </w14:textFill>
        </w:rPr>
        <w:t>对</w:t>
      </w:r>
      <w:r>
        <w:rPr>
          <w:rFonts w:hint="eastAsia" w:cs="Times New Roman"/>
          <w:color w:val="000000" w:themeColor="text1"/>
          <w14:textFill>
            <w14:solidFill>
              <w14:schemeClr w14:val="tx1"/>
            </w14:solidFill>
          </w14:textFill>
        </w:rPr>
        <w:t>所在车间、周边环境、以及附近</w:t>
      </w:r>
      <w:r>
        <w:rPr>
          <w:rFonts w:cs="Times New Roman"/>
          <w:bCs/>
        </w:rPr>
        <w:t>建筑物内的人体舒适性、精密仪器与设备</w:t>
      </w:r>
      <w:r>
        <w:rPr>
          <w:rFonts w:hint="eastAsia" w:cs="Times New Roman"/>
          <w:bCs/>
        </w:rPr>
        <w:t>、建筑结构</w:t>
      </w:r>
      <w:r>
        <w:rPr>
          <w:rFonts w:cs="Times New Roman"/>
          <w:bCs/>
        </w:rPr>
        <w:t>等可能产生的振动影响</w:t>
      </w:r>
      <w:r>
        <w:rPr>
          <w:rFonts w:hint="eastAsia" w:cs="Times New Roman"/>
        </w:rPr>
        <w:t>评估时</w:t>
      </w:r>
      <w:r>
        <w:rPr>
          <w:rFonts w:hint="eastAsia" w:cs="Times New Roman"/>
          <w:bCs/>
        </w:rPr>
        <w:t>，</w:t>
      </w:r>
      <w:r>
        <w:rPr>
          <w:rFonts w:cs="Times New Roman"/>
          <w:bCs/>
        </w:rPr>
        <w:t>应</w:t>
      </w:r>
      <w:r>
        <w:rPr>
          <w:rFonts w:hint="eastAsia" w:cs="Times New Roman"/>
          <w:bCs/>
        </w:rPr>
        <w:t>按照下列要求</w:t>
      </w:r>
      <w:r>
        <w:rPr>
          <w:rFonts w:cs="Times New Roman"/>
          <w:bCs/>
        </w:rPr>
        <w:t>编写评估报告。</w:t>
      </w:r>
    </w:p>
    <w:p w14:paraId="48F82F31">
      <w:pPr>
        <w:spacing w:before="156" w:line="360" w:lineRule="auto"/>
        <w:ind w:firstLine="482"/>
        <w:rPr>
          <w:rFonts w:cs="Times New Roman"/>
        </w:rPr>
      </w:pPr>
      <w:r>
        <w:rPr>
          <w:rFonts w:hint="eastAsia" w:cs="Times New Roman"/>
          <w:b/>
          <w:bCs/>
        </w:rPr>
        <w:t>A.3</w:t>
      </w:r>
      <w:r>
        <w:rPr>
          <w:rFonts w:cs="Times New Roman"/>
          <w:b/>
          <w:bCs/>
        </w:rPr>
        <w:t>.2　</w:t>
      </w:r>
      <w:r>
        <w:rPr>
          <w:rFonts w:cs="Times New Roman"/>
        </w:rPr>
        <w:t>评估报告应包括下列内容：</w:t>
      </w:r>
    </w:p>
    <w:p w14:paraId="74373667">
      <w:pPr>
        <w:snapToGrid w:val="0"/>
        <w:spacing w:before="156" w:line="360" w:lineRule="auto"/>
        <w:ind w:firstLine="482"/>
        <w:rPr>
          <w:rFonts w:cs="Times New Roman"/>
        </w:rPr>
      </w:pPr>
      <w:r>
        <w:rPr>
          <w:rFonts w:cs="Times New Roman"/>
          <w:b/>
          <w:bCs/>
        </w:rPr>
        <w:t>1　</w:t>
      </w:r>
      <w:r>
        <w:rPr>
          <w:rFonts w:cs="Times New Roman"/>
        </w:rPr>
        <w:t>评估目的及工作内容；</w:t>
      </w:r>
    </w:p>
    <w:p w14:paraId="052EF1D3">
      <w:pPr>
        <w:snapToGrid w:val="0"/>
        <w:spacing w:before="156" w:line="360" w:lineRule="auto"/>
        <w:ind w:firstLine="482"/>
        <w:rPr>
          <w:rFonts w:cs="Times New Roman"/>
        </w:rPr>
      </w:pPr>
      <w:r>
        <w:rPr>
          <w:rFonts w:cs="Times New Roman"/>
          <w:b/>
          <w:bCs/>
        </w:rPr>
        <w:t>2　</w:t>
      </w:r>
      <w:r>
        <w:rPr>
          <w:rFonts w:cs="Times New Roman"/>
        </w:rPr>
        <w:t>按本标准第</w:t>
      </w:r>
      <w:r>
        <w:rPr>
          <w:rFonts w:hint="eastAsia" w:cs="Times New Roman"/>
        </w:rPr>
        <w:t>A.1</w:t>
      </w:r>
      <w:r>
        <w:rPr>
          <w:rFonts w:cs="Times New Roman"/>
        </w:rPr>
        <w:t>条</w:t>
      </w:r>
      <w:r>
        <w:rPr>
          <w:rFonts w:hint="eastAsia" w:cs="Times New Roman"/>
        </w:rPr>
        <w:t>要求开展</w:t>
      </w:r>
      <w:r>
        <w:rPr>
          <w:rFonts w:cs="Times New Roman"/>
        </w:rPr>
        <w:t>状况调查和资料收集</w:t>
      </w:r>
      <w:r>
        <w:rPr>
          <w:rFonts w:hint="eastAsia" w:cs="Times New Roman"/>
        </w:rPr>
        <w:t>，</w:t>
      </w:r>
      <w:r>
        <w:rPr>
          <w:rFonts w:cs="Times New Roman"/>
        </w:rPr>
        <w:t>叙述</w:t>
      </w:r>
      <w:r>
        <w:rPr>
          <w:rFonts w:hint="eastAsia" w:cs="Times New Roman"/>
        </w:rPr>
        <w:t>锻锤</w:t>
      </w:r>
      <w:r>
        <w:rPr>
          <w:rFonts w:cs="Times New Roman"/>
        </w:rPr>
        <w:t>振源、传播路径以及评估对象的基本情况；</w:t>
      </w:r>
    </w:p>
    <w:p w14:paraId="74FFEE69">
      <w:pPr>
        <w:snapToGrid w:val="0"/>
        <w:spacing w:before="156" w:line="360" w:lineRule="auto"/>
        <w:ind w:firstLine="482"/>
        <w:rPr>
          <w:rFonts w:cs="Times New Roman"/>
        </w:rPr>
      </w:pPr>
      <w:r>
        <w:rPr>
          <w:rFonts w:cs="Times New Roman"/>
          <w:b/>
          <w:bCs/>
        </w:rPr>
        <w:t>3　</w:t>
      </w:r>
      <w:r>
        <w:rPr>
          <w:rFonts w:cs="Times New Roman"/>
        </w:rPr>
        <w:t>场地土类别和场地土动力特性参数情况；</w:t>
      </w:r>
    </w:p>
    <w:p w14:paraId="196A2C48">
      <w:pPr>
        <w:snapToGrid w:val="0"/>
        <w:spacing w:before="156" w:line="360" w:lineRule="auto"/>
        <w:ind w:firstLine="482"/>
        <w:rPr>
          <w:rFonts w:cs="Times New Roman"/>
        </w:rPr>
      </w:pPr>
      <w:r>
        <w:rPr>
          <w:rFonts w:cs="Times New Roman"/>
          <w:b/>
          <w:bCs/>
        </w:rPr>
        <w:t>4　</w:t>
      </w:r>
      <w:r>
        <w:rPr>
          <w:rFonts w:cs="Times New Roman"/>
        </w:rPr>
        <w:t>评估指标和容许振动值的确定及依据；</w:t>
      </w:r>
    </w:p>
    <w:p w14:paraId="19317CA2">
      <w:pPr>
        <w:snapToGrid w:val="0"/>
        <w:spacing w:before="156" w:line="360" w:lineRule="auto"/>
        <w:ind w:firstLine="482"/>
        <w:rPr>
          <w:rFonts w:cs="Times New Roman"/>
        </w:rPr>
      </w:pPr>
      <w:r>
        <w:rPr>
          <w:rFonts w:cs="Times New Roman"/>
          <w:b/>
          <w:bCs/>
        </w:rPr>
        <w:t>5　</w:t>
      </w:r>
      <w:r>
        <w:rPr>
          <w:rFonts w:cs="Times New Roman"/>
        </w:rPr>
        <w:t>评估所采用的方法、测点以及计算过程；</w:t>
      </w:r>
    </w:p>
    <w:p w14:paraId="1A87085A">
      <w:pPr>
        <w:snapToGrid w:val="0"/>
        <w:spacing w:before="156" w:line="360" w:lineRule="auto"/>
        <w:ind w:firstLine="482"/>
        <w:rPr>
          <w:rFonts w:cs="Times New Roman"/>
        </w:rPr>
      </w:pPr>
      <w:r>
        <w:rPr>
          <w:rFonts w:cs="Times New Roman"/>
          <w:b/>
          <w:bCs/>
        </w:rPr>
        <w:t>6　</w:t>
      </w:r>
      <w:r>
        <w:rPr>
          <w:rFonts w:cs="Times New Roman"/>
        </w:rPr>
        <w:t>使用的仪器及仪器校验或计算模型校验；</w:t>
      </w:r>
    </w:p>
    <w:p w14:paraId="495832B2">
      <w:pPr>
        <w:snapToGrid w:val="0"/>
        <w:spacing w:before="156" w:line="360" w:lineRule="auto"/>
        <w:ind w:firstLine="482"/>
        <w:rPr>
          <w:rFonts w:cs="Times New Roman"/>
        </w:rPr>
      </w:pPr>
      <w:r>
        <w:rPr>
          <w:rFonts w:cs="Times New Roman"/>
          <w:b/>
          <w:bCs/>
        </w:rPr>
        <w:t>7　</w:t>
      </w:r>
      <w:r>
        <w:rPr>
          <w:rFonts w:cs="Times New Roman"/>
        </w:rPr>
        <w:t>数据处理的方法和结果；</w:t>
      </w:r>
    </w:p>
    <w:p w14:paraId="579DB3E0">
      <w:pPr>
        <w:snapToGrid w:val="0"/>
        <w:spacing w:before="156" w:line="360" w:lineRule="auto"/>
        <w:ind w:firstLine="482"/>
        <w:rPr>
          <w:rFonts w:cs="Times New Roman"/>
        </w:rPr>
      </w:pPr>
      <w:r>
        <w:rPr>
          <w:rFonts w:cs="Times New Roman"/>
          <w:b/>
          <w:bCs/>
        </w:rPr>
        <w:t>8　</w:t>
      </w:r>
      <w:r>
        <w:rPr>
          <w:rFonts w:cs="Times New Roman"/>
        </w:rPr>
        <w:t>将测试或预测结果与容许振动值进行分析、对比，做出</w:t>
      </w:r>
      <w:r>
        <w:rPr>
          <w:rFonts w:hint="eastAsia" w:cs="Times New Roman"/>
        </w:rPr>
        <w:t>锻锤振源</w:t>
      </w:r>
      <w:r>
        <w:rPr>
          <w:rFonts w:cs="Times New Roman"/>
        </w:rPr>
        <w:t>对评估对象是否造成有害影响的结论；</w:t>
      </w:r>
    </w:p>
    <w:p w14:paraId="580A70B7">
      <w:pPr>
        <w:snapToGrid w:val="0"/>
        <w:spacing w:before="156" w:line="360" w:lineRule="auto"/>
        <w:ind w:firstLine="482"/>
        <w:rPr>
          <w:rFonts w:cs="Times New Roman"/>
        </w:rPr>
      </w:pPr>
      <w:r>
        <w:rPr>
          <w:rFonts w:cs="Times New Roman"/>
          <w:b/>
          <w:bCs/>
        </w:rPr>
        <w:t>9　</w:t>
      </w:r>
      <w:r>
        <w:rPr>
          <w:rFonts w:cs="Times New Roman"/>
        </w:rPr>
        <w:t>测试或预测结果超过容许振动值时，应提出可行的振动控制措施。</w:t>
      </w:r>
    </w:p>
    <w:p w14:paraId="7330CD57">
      <w:pPr>
        <w:spacing w:before="156" w:line="360" w:lineRule="auto"/>
        <w:ind w:firstLine="482"/>
        <w:rPr>
          <w:rFonts w:cs="Times New Roman"/>
        </w:rPr>
      </w:pPr>
      <w:r>
        <w:rPr>
          <w:rFonts w:hint="eastAsia" w:cs="Times New Roman"/>
          <w:b/>
          <w:bCs/>
        </w:rPr>
        <w:t>A.3</w:t>
      </w:r>
      <w:r>
        <w:rPr>
          <w:rFonts w:cs="Times New Roman"/>
          <w:b/>
          <w:bCs/>
        </w:rPr>
        <w:t>.</w:t>
      </w:r>
      <w:r>
        <w:rPr>
          <w:rFonts w:hint="eastAsia" w:cs="Times New Roman"/>
          <w:b/>
          <w:bCs/>
        </w:rPr>
        <w:t>3</w:t>
      </w:r>
      <w:r>
        <w:rPr>
          <w:rFonts w:cs="Times New Roman"/>
          <w:b/>
          <w:bCs/>
        </w:rPr>
        <w:t>　</w:t>
      </w:r>
      <w:r>
        <w:rPr>
          <w:rFonts w:hint="eastAsia" w:cs="Times New Roman"/>
        </w:rPr>
        <w:t>振动测试报告宜按下表的要求编写</w:t>
      </w:r>
      <w:r>
        <w:rPr>
          <w:rFonts w:cs="Times New Roman"/>
        </w:rPr>
        <w:t>：</w:t>
      </w:r>
    </w:p>
    <w:p w14:paraId="2CFB2A9F">
      <w:pPr>
        <w:pStyle w:val="39"/>
      </w:pPr>
      <w:bookmarkStart w:id="16" w:name="_Hlk124703528"/>
      <w:r>
        <w:t>表A.3.</w:t>
      </w:r>
      <w:r>
        <w:rPr>
          <w:rFonts w:hint="eastAsia"/>
        </w:rPr>
        <w:t>3</w:t>
      </w:r>
      <w:r>
        <w:t>　振动</w:t>
      </w:r>
      <w:r>
        <w:rPr>
          <w:rFonts w:hint="eastAsia"/>
        </w:rPr>
        <w:t>传播</w:t>
      </w:r>
      <w:r>
        <w:t>测试记录表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0"/>
        <w:gridCol w:w="1215"/>
        <w:gridCol w:w="467"/>
        <w:gridCol w:w="447"/>
        <w:gridCol w:w="458"/>
        <w:gridCol w:w="878"/>
        <w:gridCol w:w="362"/>
        <w:gridCol w:w="524"/>
        <w:gridCol w:w="882"/>
        <w:gridCol w:w="1243"/>
      </w:tblGrid>
      <w:tr w14:paraId="13DAE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5" w:type="pct"/>
            <w:vAlign w:val="center"/>
          </w:tcPr>
          <w:p w14:paraId="3A9EDB39">
            <w:pPr>
              <w:pStyle w:val="39"/>
            </w:pPr>
            <w:r>
              <w:t>测试日期</w:t>
            </w:r>
          </w:p>
        </w:tc>
        <w:tc>
          <w:tcPr>
            <w:tcW w:w="1195" w:type="pct"/>
            <w:gridSpan w:val="3"/>
            <w:vAlign w:val="center"/>
          </w:tcPr>
          <w:p w14:paraId="7B4CDBCA">
            <w:pPr>
              <w:pStyle w:val="39"/>
            </w:pPr>
          </w:p>
        </w:tc>
        <w:tc>
          <w:tcPr>
            <w:tcW w:w="750" w:type="pct"/>
            <w:gridSpan w:val="2"/>
            <w:vAlign w:val="center"/>
          </w:tcPr>
          <w:p w14:paraId="4E98DC87">
            <w:pPr>
              <w:pStyle w:val="39"/>
            </w:pPr>
            <w:r>
              <w:t>测试地点</w:t>
            </w:r>
          </w:p>
        </w:tc>
        <w:tc>
          <w:tcPr>
            <w:tcW w:w="1690" w:type="pct"/>
            <w:gridSpan w:val="4"/>
            <w:vAlign w:val="center"/>
          </w:tcPr>
          <w:p w14:paraId="59510287">
            <w:pPr>
              <w:pStyle w:val="39"/>
            </w:pPr>
          </w:p>
        </w:tc>
      </w:tr>
      <w:tr w14:paraId="56A92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5" w:type="pct"/>
            <w:vAlign w:val="center"/>
          </w:tcPr>
          <w:p w14:paraId="50C031EA">
            <w:pPr>
              <w:pStyle w:val="39"/>
            </w:pPr>
            <w:r>
              <w:t>天气情况</w:t>
            </w:r>
          </w:p>
        </w:tc>
        <w:tc>
          <w:tcPr>
            <w:tcW w:w="1195" w:type="pct"/>
            <w:gridSpan w:val="3"/>
            <w:vAlign w:val="center"/>
          </w:tcPr>
          <w:p w14:paraId="7847B479">
            <w:pPr>
              <w:pStyle w:val="39"/>
            </w:pPr>
          </w:p>
        </w:tc>
        <w:tc>
          <w:tcPr>
            <w:tcW w:w="750" w:type="pct"/>
            <w:gridSpan w:val="2"/>
            <w:vAlign w:val="center"/>
          </w:tcPr>
          <w:p w14:paraId="71E37752">
            <w:pPr>
              <w:pStyle w:val="39"/>
            </w:pPr>
            <w:r>
              <w:t>记录人员</w:t>
            </w:r>
          </w:p>
        </w:tc>
        <w:tc>
          <w:tcPr>
            <w:tcW w:w="1690" w:type="pct"/>
            <w:gridSpan w:val="4"/>
            <w:vAlign w:val="center"/>
          </w:tcPr>
          <w:p w14:paraId="3E657E40">
            <w:pPr>
              <w:pStyle w:val="39"/>
            </w:pPr>
          </w:p>
        </w:tc>
      </w:tr>
      <w:tr w14:paraId="42DC1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365" w:type="pct"/>
            <w:vAlign w:val="center"/>
          </w:tcPr>
          <w:p w14:paraId="317D2404">
            <w:pPr>
              <w:pStyle w:val="39"/>
            </w:pPr>
            <w:r>
              <w:rPr>
                <w:rFonts w:hint="eastAsia"/>
              </w:rPr>
              <w:t>锻锤类型及参数</w:t>
            </w:r>
          </w:p>
        </w:tc>
        <w:tc>
          <w:tcPr>
            <w:tcW w:w="1195" w:type="pct"/>
            <w:gridSpan w:val="3"/>
            <w:vAlign w:val="center"/>
          </w:tcPr>
          <w:p w14:paraId="28DB7C34">
            <w:pPr>
              <w:pStyle w:val="39"/>
            </w:pPr>
          </w:p>
        </w:tc>
        <w:tc>
          <w:tcPr>
            <w:tcW w:w="750" w:type="pct"/>
            <w:gridSpan w:val="2"/>
            <w:vAlign w:val="center"/>
          </w:tcPr>
          <w:p w14:paraId="0738AD10">
            <w:pPr>
              <w:pStyle w:val="39"/>
            </w:pPr>
            <w:r>
              <w:t>评估目的</w:t>
            </w:r>
          </w:p>
        </w:tc>
        <w:tc>
          <w:tcPr>
            <w:tcW w:w="1690" w:type="pct"/>
            <w:gridSpan w:val="4"/>
            <w:vAlign w:val="center"/>
          </w:tcPr>
          <w:p w14:paraId="2453EDF2">
            <w:pPr>
              <w:pStyle w:val="39"/>
            </w:pPr>
          </w:p>
        </w:tc>
      </w:tr>
      <w:tr w14:paraId="6D281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5" w:type="pct"/>
            <w:vAlign w:val="center"/>
          </w:tcPr>
          <w:p w14:paraId="10E06D52">
            <w:pPr>
              <w:pStyle w:val="39"/>
            </w:pPr>
            <w:r>
              <w:t>测试仪器</w:t>
            </w:r>
          </w:p>
        </w:tc>
        <w:tc>
          <w:tcPr>
            <w:tcW w:w="3635" w:type="pct"/>
            <w:gridSpan w:val="9"/>
            <w:vAlign w:val="center"/>
          </w:tcPr>
          <w:p w14:paraId="0CCE9B4A">
            <w:pPr>
              <w:pStyle w:val="39"/>
            </w:pPr>
          </w:p>
        </w:tc>
      </w:tr>
      <w:tr w14:paraId="3A0AB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5" w:type="pct"/>
            <w:vAlign w:val="center"/>
          </w:tcPr>
          <w:p w14:paraId="362272F1">
            <w:pPr>
              <w:pStyle w:val="39"/>
            </w:pPr>
            <w:r>
              <w:t>评价标准及评估指标、容许振动值</w:t>
            </w:r>
          </w:p>
        </w:tc>
        <w:tc>
          <w:tcPr>
            <w:tcW w:w="3635" w:type="pct"/>
            <w:gridSpan w:val="9"/>
            <w:vAlign w:val="center"/>
          </w:tcPr>
          <w:p w14:paraId="62A04883">
            <w:pPr>
              <w:pStyle w:val="39"/>
            </w:pPr>
          </w:p>
        </w:tc>
      </w:tr>
      <w:tr w14:paraId="525BB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4" w:hRule="atLeast"/>
          <w:jc w:val="center"/>
        </w:trPr>
        <w:tc>
          <w:tcPr>
            <w:tcW w:w="1365" w:type="pct"/>
            <w:vAlign w:val="center"/>
          </w:tcPr>
          <w:p w14:paraId="47F284B0">
            <w:pPr>
              <w:pStyle w:val="39"/>
            </w:pPr>
            <w:r>
              <w:t>测点布置图</w:t>
            </w:r>
          </w:p>
        </w:tc>
        <w:tc>
          <w:tcPr>
            <w:tcW w:w="3635" w:type="pct"/>
            <w:gridSpan w:val="9"/>
            <w:vAlign w:val="center"/>
          </w:tcPr>
          <w:p w14:paraId="3DD93F3C">
            <w:pPr>
              <w:pStyle w:val="39"/>
            </w:pPr>
          </w:p>
        </w:tc>
      </w:tr>
      <w:tr w14:paraId="41FC9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5" w:type="pct"/>
            <w:vAlign w:val="center"/>
          </w:tcPr>
          <w:p w14:paraId="24B4C9A5">
            <w:pPr>
              <w:pStyle w:val="39"/>
            </w:pPr>
            <w:r>
              <w:t>测点编号</w:t>
            </w:r>
          </w:p>
        </w:tc>
        <w:tc>
          <w:tcPr>
            <w:tcW w:w="682" w:type="pct"/>
            <w:vAlign w:val="center"/>
          </w:tcPr>
          <w:p w14:paraId="46A897BB">
            <w:pPr>
              <w:pStyle w:val="39"/>
            </w:pPr>
            <w:r>
              <w:t>1</w:t>
            </w:r>
          </w:p>
        </w:tc>
        <w:tc>
          <w:tcPr>
            <w:tcW w:w="770" w:type="pct"/>
            <w:gridSpan w:val="3"/>
            <w:vAlign w:val="center"/>
          </w:tcPr>
          <w:p w14:paraId="4CD1C423">
            <w:pPr>
              <w:pStyle w:val="39"/>
            </w:pPr>
            <w:r>
              <w:t>2</w:t>
            </w:r>
          </w:p>
        </w:tc>
        <w:tc>
          <w:tcPr>
            <w:tcW w:w="696" w:type="pct"/>
            <w:gridSpan w:val="2"/>
            <w:vAlign w:val="center"/>
          </w:tcPr>
          <w:p w14:paraId="265E5F70">
            <w:pPr>
              <w:pStyle w:val="39"/>
            </w:pPr>
            <w:r>
              <w:t>3</w:t>
            </w:r>
          </w:p>
        </w:tc>
        <w:tc>
          <w:tcPr>
            <w:tcW w:w="789" w:type="pct"/>
            <w:gridSpan w:val="2"/>
            <w:vAlign w:val="center"/>
          </w:tcPr>
          <w:p w14:paraId="0D8014AC">
            <w:pPr>
              <w:pStyle w:val="39"/>
            </w:pPr>
            <w:r>
              <w:t>…</w:t>
            </w:r>
          </w:p>
        </w:tc>
        <w:tc>
          <w:tcPr>
            <w:tcW w:w="698" w:type="pct"/>
            <w:vAlign w:val="center"/>
          </w:tcPr>
          <w:p w14:paraId="05A5BAD1">
            <w:pPr>
              <w:pStyle w:val="39"/>
            </w:pPr>
            <w:r>
              <w:t>N</w:t>
            </w:r>
          </w:p>
        </w:tc>
      </w:tr>
      <w:tr w14:paraId="2C237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5" w:type="pct"/>
            <w:vAlign w:val="center"/>
          </w:tcPr>
          <w:p w14:paraId="1331F19E">
            <w:pPr>
              <w:pStyle w:val="39"/>
            </w:pPr>
            <w:r>
              <w:t>传感器编号</w:t>
            </w:r>
          </w:p>
        </w:tc>
        <w:tc>
          <w:tcPr>
            <w:tcW w:w="682" w:type="pct"/>
            <w:vAlign w:val="center"/>
          </w:tcPr>
          <w:p w14:paraId="7E0EF8E3">
            <w:pPr>
              <w:pStyle w:val="39"/>
            </w:pPr>
          </w:p>
        </w:tc>
        <w:tc>
          <w:tcPr>
            <w:tcW w:w="770" w:type="pct"/>
            <w:gridSpan w:val="3"/>
            <w:vAlign w:val="center"/>
          </w:tcPr>
          <w:p w14:paraId="1F6F090A">
            <w:pPr>
              <w:pStyle w:val="39"/>
            </w:pPr>
          </w:p>
        </w:tc>
        <w:tc>
          <w:tcPr>
            <w:tcW w:w="696" w:type="pct"/>
            <w:gridSpan w:val="2"/>
            <w:vAlign w:val="center"/>
          </w:tcPr>
          <w:p w14:paraId="01BA7FC1">
            <w:pPr>
              <w:pStyle w:val="39"/>
            </w:pPr>
          </w:p>
        </w:tc>
        <w:tc>
          <w:tcPr>
            <w:tcW w:w="789" w:type="pct"/>
            <w:gridSpan w:val="2"/>
            <w:vAlign w:val="center"/>
          </w:tcPr>
          <w:p w14:paraId="6AC3CEA6">
            <w:pPr>
              <w:pStyle w:val="39"/>
            </w:pPr>
          </w:p>
        </w:tc>
        <w:tc>
          <w:tcPr>
            <w:tcW w:w="698" w:type="pct"/>
            <w:vAlign w:val="center"/>
          </w:tcPr>
          <w:p w14:paraId="74DBB7B5">
            <w:pPr>
              <w:pStyle w:val="39"/>
            </w:pPr>
          </w:p>
        </w:tc>
      </w:tr>
      <w:tr w14:paraId="60A76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5" w:type="pct"/>
            <w:vAlign w:val="center"/>
          </w:tcPr>
          <w:p w14:paraId="68EBE991">
            <w:pPr>
              <w:pStyle w:val="39"/>
            </w:pPr>
            <w:r>
              <w:t>数采通道编号</w:t>
            </w:r>
          </w:p>
        </w:tc>
        <w:tc>
          <w:tcPr>
            <w:tcW w:w="682" w:type="pct"/>
            <w:vAlign w:val="center"/>
          </w:tcPr>
          <w:p w14:paraId="3D6C3BB0">
            <w:pPr>
              <w:pStyle w:val="39"/>
            </w:pPr>
          </w:p>
        </w:tc>
        <w:tc>
          <w:tcPr>
            <w:tcW w:w="770" w:type="pct"/>
            <w:gridSpan w:val="3"/>
            <w:vAlign w:val="center"/>
          </w:tcPr>
          <w:p w14:paraId="7C3AAADF">
            <w:pPr>
              <w:pStyle w:val="39"/>
            </w:pPr>
          </w:p>
        </w:tc>
        <w:tc>
          <w:tcPr>
            <w:tcW w:w="696" w:type="pct"/>
            <w:gridSpan w:val="2"/>
            <w:vAlign w:val="center"/>
          </w:tcPr>
          <w:p w14:paraId="71BA2857">
            <w:pPr>
              <w:pStyle w:val="39"/>
            </w:pPr>
          </w:p>
        </w:tc>
        <w:tc>
          <w:tcPr>
            <w:tcW w:w="789" w:type="pct"/>
            <w:gridSpan w:val="2"/>
            <w:vAlign w:val="center"/>
          </w:tcPr>
          <w:p w14:paraId="0DAA9136">
            <w:pPr>
              <w:pStyle w:val="39"/>
            </w:pPr>
          </w:p>
        </w:tc>
        <w:tc>
          <w:tcPr>
            <w:tcW w:w="698" w:type="pct"/>
            <w:vAlign w:val="center"/>
          </w:tcPr>
          <w:p w14:paraId="639184FB">
            <w:pPr>
              <w:pStyle w:val="39"/>
            </w:pPr>
          </w:p>
        </w:tc>
      </w:tr>
      <w:tr w14:paraId="40E53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10"/>
            <w:vAlign w:val="center"/>
          </w:tcPr>
          <w:p w14:paraId="11ECB4EA">
            <w:pPr>
              <w:pStyle w:val="39"/>
            </w:pPr>
            <w:r>
              <w:t>测试记录</w:t>
            </w:r>
          </w:p>
        </w:tc>
      </w:tr>
      <w:tr w14:paraId="509DF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5" w:type="pct"/>
            <w:vAlign w:val="center"/>
          </w:tcPr>
          <w:p w14:paraId="3479B5C3">
            <w:pPr>
              <w:pStyle w:val="39"/>
            </w:pPr>
            <w:r>
              <w:t>序号（工况号）</w:t>
            </w:r>
          </w:p>
        </w:tc>
        <w:tc>
          <w:tcPr>
            <w:tcW w:w="944" w:type="pct"/>
            <w:gridSpan w:val="2"/>
            <w:vAlign w:val="center"/>
          </w:tcPr>
          <w:p w14:paraId="3C3EB722">
            <w:pPr>
              <w:pStyle w:val="39"/>
            </w:pPr>
            <w:r>
              <w:t>时间</w:t>
            </w:r>
          </w:p>
        </w:tc>
        <w:tc>
          <w:tcPr>
            <w:tcW w:w="1498" w:type="pct"/>
            <w:gridSpan w:val="5"/>
            <w:vAlign w:val="center"/>
          </w:tcPr>
          <w:p w14:paraId="4D045D28">
            <w:pPr>
              <w:pStyle w:val="39"/>
            </w:pPr>
            <w:r>
              <w:t>评估指标值</w:t>
            </w:r>
          </w:p>
        </w:tc>
        <w:tc>
          <w:tcPr>
            <w:tcW w:w="1193" w:type="pct"/>
            <w:gridSpan w:val="2"/>
            <w:vAlign w:val="center"/>
          </w:tcPr>
          <w:p w14:paraId="3B769E26">
            <w:pPr>
              <w:pStyle w:val="39"/>
            </w:pPr>
            <w:r>
              <w:t>备注</w:t>
            </w:r>
          </w:p>
        </w:tc>
      </w:tr>
      <w:tr w14:paraId="3B64B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5" w:type="pct"/>
            <w:vAlign w:val="center"/>
          </w:tcPr>
          <w:p w14:paraId="56299A2A">
            <w:pPr>
              <w:pStyle w:val="39"/>
            </w:pPr>
            <w:r>
              <w:t>1</w:t>
            </w:r>
          </w:p>
        </w:tc>
        <w:tc>
          <w:tcPr>
            <w:tcW w:w="944" w:type="pct"/>
            <w:gridSpan w:val="2"/>
            <w:vAlign w:val="center"/>
          </w:tcPr>
          <w:p w14:paraId="150C21BD">
            <w:pPr>
              <w:pStyle w:val="39"/>
            </w:pPr>
          </w:p>
        </w:tc>
        <w:tc>
          <w:tcPr>
            <w:tcW w:w="1498" w:type="pct"/>
            <w:gridSpan w:val="5"/>
            <w:vAlign w:val="center"/>
          </w:tcPr>
          <w:p w14:paraId="0D771965">
            <w:pPr>
              <w:pStyle w:val="39"/>
            </w:pPr>
          </w:p>
        </w:tc>
        <w:tc>
          <w:tcPr>
            <w:tcW w:w="1193" w:type="pct"/>
            <w:gridSpan w:val="2"/>
            <w:vAlign w:val="center"/>
          </w:tcPr>
          <w:p w14:paraId="2D15E0FA">
            <w:pPr>
              <w:pStyle w:val="39"/>
            </w:pPr>
          </w:p>
        </w:tc>
      </w:tr>
      <w:tr w14:paraId="705DB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5" w:type="pct"/>
            <w:vAlign w:val="center"/>
          </w:tcPr>
          <w:p w14:paraId="2155AF82">
            <w:pPr>
              <w:pStyle w:val="39"/>
            </w:pPr>
            <w:r>
              <w:t>2</w:t>
            </w:r>
          </w:p>
        </w:tc>
        <w:tc>
          <w:tcPr>
            <w:tcW w:w="944" w:type="pct"/>
            <w:gridSpan w:val="2"/>
            <w:vAlign w:val="center"/>
          </w:tcPr>
          <w:p w14:paraId="6F3ACFDC">
            <w:pPr>
              <w:pStyle w:val="39"/>
            </w:pPr>
          </w:p>
        </w:tc>
        <w:tc>
          <w:tcPr>
            <w:tcW w:w="1498" w:type="pct"/>
            <w:gridSpan w:val="5"/>
            <w:vAlign w:val="center"/>
          </w:tcPr>
          <w:p w14:paraId="3E452F9F">
            <w:pPr>
              <w:pStyle w:val="39"/>
            </w:pPr>
          </w:p>
        </w:tc>
        <w:tc>
          <w:tcPr>
            <w:tcW w:w="1193" w:type="pct"/>
            <w:gridSpan w:val="2"/>
            <w:vAlign w:val="center"/>
          </w:tcPr>
          <w:p w14:paraId="7F40B49C">
            <w:pPr>
              <w:pStyle w:val="39"/>
            </w:pPr>
          </w:p>
        </w:tc>
      </w:tr>
      <w:tr w14:paraId="213AD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5" w:type="pct"/>
            <w:vAlign w:val="center"/>
          </w:tcPr>
          <w:p w14:paraId="56C1496E">
            <w:pPr>
              <w:pStyle w:val="39"/>
            </w:pPr>
            <w:r>
              <w:t>3</w:t>
            </w:r>
          </w:p>
        </w:tc>
        <w:tc>
          <w:tcPr>
            <w:tcW w:w="944" w:type="pct"/>
            <w:gridSpan w:val="2"/>
            <w:vAlign w:val="center"/>
          </w:tcPr>
          <w:p w14:paraId="502AEDFB">
            <w:pPr>
              <w:pStyle w:val="39"/>
            </w:pPr>
          </w:p>
        </w:tc>
        <w:tc>
          <w:tcPr>
            <w:tcW w:w="1498" w:type="pct"/>
            <w:gridSpan w:val="5"/>
            <w:vAlign w:val="center"/>
          </w:tcPr>
          <w:p w14:paraId="19F89B0A">
            <w:pPr>
              <w:pStyle w:val="39"/>
            </w:pPr>
          </w:p>
        </w:tc>
        <w:tc>
          <w:tcPr>
            <w:tcW w:w="1193" w:type="pct"/>
            <w:gridSpan w:val="2"/>
            <w:vAlign w:val="center"/>
          </w:tcPr>
          <w:p w14:paraId="716094D7">
            <w:pPr>
              <w:pStyle w:val="39"/>
            </w:pPr>
          </w:p>
        </w:tc>
      </w:tr>
      <w:tr w14:paraId="42C62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5" w:type="pct"/>
            <w:vAlign w:val="center"/>
          </w:tcPr>
          <w:p w14:paraId="6A50C986">
            <w:pPr>
              <w:pStyle w:val="39"/>
            </w:pPr>
            <w:r>
              <w:t>…</w:t>
            </w:r>
          </w:p>
        </w:tc>
        <w:tc>
          <w:tcPr>
            <w:tcW w:w="944" w:type="pct"/>
            <w:gridSpan w:val="2"/>
            <w:vAlign w:val="center"/>
          </w:tcPr>
          <w:p w14:paraId="384FF8D7">
            <w:pPr>
              <w:pStyle w:val="39"/>
            </w:pPr>
          </w:p>
        </w:tc>
        <w:tc>
          <w:tcPr>
            <w:tcW w:w="1498" w:type="pct"/>
            <w:gridSpan w:val="5"/>
            <w:vAlign w:val="center"/>
          </w:tcPr>
          <w:p w14:paraId="6F0A1DCE">
            <w:pPr>
              <w:pStyle w:val="39"/>
            </w:pPr>
          </w:p>
        </w:tc>
        <w:tc>
          <w:tcPr>
            <w:tcW w:w="1193" w:type="pct"/>
            <w:gridSpan w:val="2"/>
            <w:vAlign w:val="center"/>
          </w:tcPr>
          <w:p w14:paraId="72264F89">
            <w:pPr>
              <w:pStyle w:val="39"/>
            </w:pPr>
          </w:p>
        </w:tc>
      </w:tr>
      <w:tr w14:paraId="342E2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5" w:type="pct"/>
            <w:vAlign w:val="center"/>
          </w:tcPr>
          <w:p w14:paraId="483D4DBF">
            <w:pPr>
              <w:pStyle w:val="39"/>
            </w:pPr>
            <w:r>
              <w:rPr>
                <w:rFonts w:hint="eastAsia"/>
              </w:rPr>
              <w:t>N</w:t>
            </w:r>
          </w:p>
        </w:tc>
        <w:tc>
          <w:tcPr>
            <w:tcW w:w="944" w:type="pct"/>
            <w:gridSpan w:val="2"/>
            <w:vAlign w:val="center"/>
          </w:tcPr>
          <w:p w14:paraId="72DC6C9A">
            <w:pPr>
              <w:pStyle w:val="39"/>
            </w:pPr>
          </w:p>
        </w:tc>
        <w:tc>
          <w:tcPr>
            <w:tcW w:w="1498" w:type="pct"/>
            <w:gridSpan w:val="5"/>
            <w:vAlign w:val="center"/>
          </w:tcPr>
          <w:p w14:paraId="0D3F5672">
            <w:pPr>
              <w:pStyle w:val="39"/>
            </w:pPr>
          </w:p>
        </w:tc>
        <w:tc>
          <w:tcPr>
            <w:tcW w:w="1193" w:type="pct"/>
            <w:gridSpan w:val="2"/>
            <w:vAlign w:val="center"/>
          </w:tcPr>
          <w:p w14:paraId="51E408B0">
            <w:pPr>
              <w:pStyle w:val="39"/>
            </w:pPr>
          </w:p>
        </w:tc>
      </w:tr>
      <w:bookmarkEnd w:id="16"/>
    </w:tbl>
    <w:p w14:paraId="4A4385AA">
      <w:pPr>
        <w:pStyle w:val="3"/>
        <w:rPr>
          <w:b/>
        </w:rPr>
      </w:pPr>
      <w:bookmarkStart w:id="17" w:name="_Toc5868456"/>
      <w:bookmarkStart w:id="18" w:name="_Toc517980504"/>
      <w:bookmarkStart w:id="19" w:name="_Toc206578613"/>
      <w:r>
        <w:t>附录</w:t>
      </w:r>
      <w:r>
        <w:rPr>
          <w:rFonts w:hint="eastAsia"/>
        </w:rPr>
        <w:t>B</w:t>
      </w:r>
      <w:r>
        <w:t xml:space="preserve">  冲击式机器基础有阻尼动力系数</w:t>
      </w:r>
      <w:r>
        <w:rPr>
          <w:rFonts w:ascii="Cambria Math" w:hAnsi="Cambria Math"/>
          <w:i/>
        </w:rPr>
        <w:t>η</w:t>
      </w:r>
      <w:r>
        <w:rPr>
          <w:vertAlign w:val="subscript"/>
        </w:rPr>
        <w:t>max</w:t>
      </w:r>
      <w:r>
        <w:t>值的计算</w:t>
      </w:r>
      <w:bookmarkEnd w:id="17"/>
      <w:bookmarkEnd w:id="18"/>
      <w:bookmarkEnd w:id="19"/>
    </w:p>
    <w:p w14:paraId="1B6BA44D">
      <w:pPr>
        <w:spacing w:before="156"/>
        <w:ind w:firstLine="482"/>
      </w:pPr>
      <w:r>
        <w:rPr>
          <w:b/>
        </w:rPr>
        <w:t>B.0.1</w:t>
      </w:r>
      <w:r>
        <w:t>锻锤等</w:t>
      </w:r>
      <w:r>
        <w:rPr>
          <w:rFonts w:hint="eastAsia"/>
        </w:rPr>
        <w:t>冲击式机器</w:t>
      </w:r>
      <w:r>
        <w:t>的振动荷载</w:t>
      </w:r>
      <w:r>
        <w:rPr>
          <w:rFonts w:hint="eastAsia"/>
        </w:rPr>
        <w:t>，</w:t>
      </w:r>
      <w:r>
        <w:t>在动力分析</w:t>
      </w:r>
      <w:r>
        <w:rPr>
          <w:rFonts w:hint="eastAsia"/>
        </w:rPr>
        <w:t>时</w:t>
      </w:r>
      <w:r>
        <w:t>可</w:t>
      </w:r>
      <w:r>
        <w:rPr>
          <w:rFonts w:hint="eastAsia"/>
        </w:rPr>
        <w:t>采</w:t>
      </w:r>
      <w:r>
        <w:t>用脉冲函数来描述冲击作用。脉冲函数</w:t>
      </w:r>
      <w:r>
        <w:rPr>
          <w:rFonts w:hint="eastAsia"/>
        </w:rPr>
        <w:t>可采用</w:t>
      </w:r>
      <w:r>
        <w:t>后峰齿形、对称三角形、矩形脉冲、正弦半波、正矢脉冲等。</w:t>
      </w:r>
      <w:r>
        <w:rPr>
          <w:rFonts w:hint="eastAsia"/>
        </w:rPr>
        <w:t>振动能量较小时，可采用后峰齿形脉冲；振动能量较大时，可采用矩形脉冲。</w:t>
      </w:r>
      <w:r>
        <w:t>冲击机器冲击作用所对应的脉冲函数形式可按照</w:t>
      </w:r>
      <w:r>
        <w:rPr>
          <w:rFonts w:hint="eastAsia"/>
        </w:rPr>
        <w:t>现行国家标准</w:t>
      </w:r>
      <w:r>
        <w:t>《建筑振动荷载标准》</w:t>
      </w:r>
      <w:r>
        <w:rPr>
          <w:rFonts w:hint="eastAsia"/>
        </w:rPr>
        <w:t>采</w:t>
      </w:r>
      <w:r>
        <w:t>用。五种脉冲作用下的动力系数</w:t>
      </w:r>
      <m:oMath>
        <m:sSub>
          <m:sSubPr>
            <m:ctrlPr>
              <w:rPr>
                <w:rFonts w:ascii="Cambria Math" w:hAnsi="Cambria Math"/>
              </w:rPr>
            </m:ctrlPr>
          </m:sSubPr>
          <m:e>
            <m:r>
              <m:rPr/>
              <w:rPr>
                <w:rFonts w:ascii="Cambria Math" w:hAnsi="Cambria Math"/>
              </w:rPr>
              <m:t>η</m:t>
            </m:r>
            <m:ctrlPr>
              <w:rPr>
                <w:rFonts w:ascii="Cambria Math" w:hAnsi="Cambria Math"/>
              </w:rPr>
            </m:ctrlPr>
          </m:e>
          <m:sub>
            <m:r>
              <m:rPr>
                <m:sty m:val="p"/>
              </m:rPr>
              <w:rPr>
                <w:rFonts w:ascii="Cambria Math" w:hAnsi="Cambria Math"/>
              </w:rPr>
              <m:t>max</m:t>
            </m:r>
            <m:ctrlPr>
              <w:rPr>
                <w:rFonts w:ascii="Cambria Math" w:hAnsi="Cambria Math"/>
              </w:rPr>
            </m:ctrlPr>
          </m:sub>
        </m:sSub>
      </m:oMath>
      <w:r>
        <w:t>值</w:t>
      </w:r>
      <w:r>
        <w:rPr>
          <w:rFonts w:hint="eastAsia"/>
        </w:rPr>
        <w:t>，</w:t>
      </w:r>
      <w:r>
        <w:t>可按本附录</w:t>
      </w:r>
      <w:r>
        <w:rPr>
          <w:rFonts w:hint="eastAsia"/>
        </w:rPr>
        <w:t>第</w:t>
      </w:r>
      <w:r>
        <w:t>D.0.2条</w:t>
      </w:r>
      <w:r>
        <w:rPr>
          <w:rFonts w:hint="eastAsia"/>
        </w:rPr>
        <w:t>的</w:t>
      </w:r>
      <w:r>
        <w:t>规定采用。</w:t>
      </w:r>
    </w:p>
    <w:p w14:paraId="0B8AD3C6">
      <w:pPr>
        <w:spacing w:before="156"/>
        <w:ind w:firstLine="482"/>
        <w:rPr>
          <w:b/>
        </w:rPr>
      </w:pPr>
      <w:r>
        <w:rPr>
          <w:b/>
        </w:rPr>
        <w:t xml:space="preserve">B.0.2 </w:t>
      </w:r>
      <w:r>
        <w:t>当扰力为后峰锯齿冲击脉冲或对称三角形冲击脉冲时，基组的有阻尼动力系数</w:t>
      </w:r>
      <m:oMath>
        <m:sSub>
          <m:sSubPr>
            <m:ctrlPr>
              <w:rPr>
                <w:rFonts w:ascii="Cambria Math" w:hAnsi="Cambria Math"/>
              </w:rPr>
            </m:ctrlPr>
          </m:sSubPr>
          <m:e>
            <m:r>
              <m:rPr/>
              <w:rPr>
                <w:rFonts w:ascii="Cambria Math" w:hAnsi="Cambria Math"/>
              </w:rPr>
              <m:t>η</m:t>
            </m:r>
            <m:ctrlPr>
              <w:rPr>
                <w:rFonts w:ascii="Cambria Math" w:hAnsi="Cambria Math"/>
              </w:rPr>
            </m:ctrlPr>
          </m:e>
          <m:sub>
            <m:r>
              <m:rPr>
                <m:sty m:val="p"/>
              </m:rPr>
              <w:rPr>
                <w:rFonts w:ascii="Cambria Math" w:hAnsi="Cambria Math"/>
              </w:rPr>
              <m:t>max</m:t>
            </m:r>
            <m:ctrlPr>
              <w:rPr>
                <w:rFonts w:ascii="Cambria Math" w:hAnsi="Cambria Math"/>
              </w:rPr>
            </m:ctrlPr>
          </m:sub>
        </m:sSub>
      </m:oMath>
      <w:r>
        <w:t>，可按下列规定</w:t>
      </w:r>
      <w:r>
        <w:rPr>
          <w:rFonts w:hint="eastAsia"/>
        </w:rPr>
        <w:t>确定</w:t>
      </w:r>
      <w:r>
        <w:t>：</w:t>
      </w:r>
    </w:p>
    <w:p w14:paraId="67EB1670">
      <w:pPr>
        <w:spacing w:before="156"/>
        <w:ind w:firstLine="480"/>
      </w:pPr>
      <w:r>
        <w:t>1对于竖向有阻尼动力系数</w:t>
      </w:r>
      <m:oMath>
        <m:sSub>
          <m:sSubPr>
            <m:ctrlPr>
              <w:rPr>
                <w:rFonts w:ascii="Cambria Math" w:hAnsi="Cambria Math"/>
                <w:i/>
              </w:rPr>
            </m:ctrlPr>
          </m:sSubPr>
          <m:e>
            <m:r>
              <m:rPr/>
              <w:rPr>
                <w:rFonts w:ascii="Cambria Math" w:hAnsi="Cambria Math"/>
              </w:rPr>
              <m:t>η</m:t>
            </m:r>
            <m:ctrlPr>
              <w:rPr>
                <w:rFonts w:ascii="Cambria Math" w:hAnsi="Cambria Math"/>
                <w:i/>
              </w:rPr>
            </m:ctrlPr>
          </m:e>
          <m:sub>
            <m:r>
              <m:rPr>
                <m:sty m:val="p"/>
              </m:rPr>
              <w:rPr>
                <w:rFonts w:ascii="Cambria Math" w:hAnsi="Cambria Math"/>
              </w:rPr>
              <m:t>zmax</m:t>
            </m:r>
            <m:ctrlPr>
              <w:rPr>
                <w:rFonts w:ascii="Cambria Math" w:hAnsi="Cambria Math"/>
                <w:i/>
              </w:rPr>
            </m:ctrlPr>
          </m:sub>
        </m:sSub>
      </m:oMath>
      <w:r>
        <w:t>，阻尼比</w:t>
      </w:r>
      <w:r>
        <w:rPr>
          <w:position w:val="-10"/>
        </w:rPr>
        <w:object>
          <v:shape id="_x0000_i1029" o:spt="75" type="#_x0000_t75" style="height:15.75pt;width:12.75pt;" o:ole="t" filled="f" o:preferrelative="t" stroked="f" coordsize="21600,21600">
            <v:path/>
            <v:fill on="f" focussize="0,0"/>
            <v:stroke on="f" joinstyle="miter"/>
            <v:imagedata r:id="rId45" o:title=""/>
            <o:lock v:ext="edit" aspectratio="t"/>
            <w10:wrap type="none"/>
            <w10:anchorlock/>
          </v:shape>
          <o:OLEObject Type="Embed" ProgID="Equation.DSMT4" ShapeID="_x0000_i1029" DrawAspect="Content" ObjectID="_1468075729" r:id="rId44">
            <o:LockedField>false</o:LockedField>
          </o:OLEObject>
        </w:object>
      </w:r>
      <w:r>
        <w:t>和固有周期</w:t>
      </w:r>
      <w:r>
        <w:rPr>
          <w:i/>
        </w:rPr>
        <w:t>T</w:t>
      </w:r>
      <w:r>
        <w:rPr>
          <w:vertAlign w:val="subscript"/>
        </w:rPr>
        <w:t>n</w:t>
      </w:r>
      <w:r>
        <w:t>可取基组的竖向阻尼比</w:t>
      </w:r>
      <w:r>
        <w:rPr>
          <w:position w:val="-10"/>
        </w:rPr>
        <w:object>
          <v:shape id="_x0000_i1030" o:spt="75" type="#_x0000_t75" style="height:18.75pt;width:14.25pt;" o:ole="t" filled="f" o:preferrelative="t" stroked="f" coordsize="21600,21600">
            <v:path/>
            <v:fill on="f" focussize="0,0"/>
            <v:stroke on="f" joinstyle="miter"/>
            <v:imagedata r:id="rId47" o:title=""/>
            <o:lock v:ext="edit" aspectratio="t"/>
            <w10:wrap type="none"/>
            <w10:anchorlock/>
          </v:shape>
          <o:OLEObject Type="Embed" ProgID="Equation.3" ShapeID="_x0000_i1030" DrawAspect="Content" ObjectID="_1468075730" r:id="rId46">
            <o:LockedField>false</o:LockedField>
          </o:OLEObject>
        </w:object>
      </w:r>
      <w:r>
        <w:t>、固有周期</w:t>
      </w:r>
      <w:r>
        <w:rPr>
          <w:i/>
        </w:rPr>
        <w:t>T</w:t>
      </w:r>
      <w:r>
        <w:rPr>
          <w:vertAlign w:val="subscript"/>
        </w:rPr>
        <w:t>nz</w:t>
      </w:r>
      <w:r>
        <w:t>。</w:t>
      </w:r>
    </w:p>
    <w:p w14:paraId="40C8B9C7">
      <w:pPr>
        <w:spacing w:before="156"/>
        <w:ind w:firstLine="480"/>
        <w:rPr>
          <w:vertAlign w:val="subscript"/>
        </w:rPr>
      </w:pPr>
      <w:r>
        <w:t>2对于水平回转耦合振动第一、第二振型有阻尼动力系数</w:t>
      </w:r>
      <m:oMath>
        <m:sSub>
          <m:sSubPr>
            <m:ctrlPr>
              <w:rPr>
                <w:rFonts w:ascii="Cambria Math" w:hAnsi="Cambria Math"/>
                <w:i/>
              </w:rPr>
            </m:ctrlPr>
          </m:sSubPr>
          <m:e>
            <m:r>
              <m:rPr/>
              <w:rPr>
                <w:rFonts w:ascii="Cambria Math" w:hAnsi="Cambria Math"/>
              </w:rPr>
              <m:t>η</m:t>
            </m:r>
            <m:ctrlPr>
              <w:rPr>
                <w:rFonts w:ascii="Cambria Math" w:hAnsi="Cambria Math"/>
                <w:i/>
              </w:rPr>
            </m:ctrlPr>
          </m:e>
          <m:sub>
            <m:r>
              <m:rPr>
                <m:sty m:val="p"/>
              </m:rPr>
              <w:rPr>
                <w:rFonts w:ascii="Cambria Math" w:hAnsi="Cambria Math"/>
              </w:rPr>
              <m:t>1max</m:t>
            </m:r>
            <m:ctrlPr>
              <w:rPr>
                <w:rFonts w:ascii="Cambria Math" w:hAnsi="Cambria Math"/>
                <w:i/>
              </w:rPr>
            </m:ctrlPr>
          </m:sub>
        </m:sSub>
      </m:oMath>
      <w:r>
        <w:t>、</w:t>
      </w:r>
      <m:oMath>
        <m:sSub>
          <m:sSubPr>
            <m:ctrlPr>
              <w:rPr>
                <w:rFonts w:ascii="Cambria Math" w:hAnsi="Cambria Math"/>
                <w:i/>
              </w:rPr>
            </m:ctrlPr>
          </m:sSubPr>
          <m:e>
            <m:r>
              <m:rPr/>
              <w:rPr>
                <w:rFonts w:ascii="Cambria Math" w:hAnsi="Cambria Math"/>
              </w:rPr>
              <m:t>η</m:t>
            </m:r>
            <m:ctrlPr>
              <w:rPr>
                <w:rFonts w:ascii="Cambria Math" w:hAnsi="Cambria Math"/>
                <w:i/>
              </w:rPr>
            </m:ctrlPr>
          </m:e>
          <m:sub>
            <m:r>
              <m:rPr>
                <m:sty m:val="p"/>
              </m:rPr>
              <w:rPr>
                <w:rFonts w:ascii="Cambria Math" w:hAnsi="Cambria Math"/>
              </w:rPr>
              <m:t>2max</m:t>
            </m:r>
            <m:ctrlPr>
              <w:rPr>
                <w:rFonts w:ascii="Cambria Math" w:hAnsi="Cambria Math"/>
                <w:i/>
              </w:rPr>
            </m:ctrlPr>
          </m:sub>
        </m:sSub>
      </m:oMath>
      <w:r>
        <w:rPr>
          <w:rFonts w:hint="eastAsia"/>
        </w:rPr>
        <w:t>确定时</w:t>
      </w:r>
      <w:r>
        <w:t>，阻尼比</w:t>
      </w:r>
      <w:r>
        <w:rPr>
          <w:position w:val="-8"/>
        </w:rPr>
        <w:object>
          <v:shape id="_x0000_i1031" o:spt="75" type="#_x0000_t75" style="height:14.25pt;width:8.25pt;" o:ole="t" filled="f" o:preferrelative="t" stroked="f" coordsize="21600,21600">
            <v:path/>
            <v:fill on="f" focussize="0,0"/>
            <v:stroke on="f" joinstyle="miter"/>
            <v:imagedata r:id="rId49" o:title=""/>
            <o:lock v:ext="edit" aspectratio="t"/>
            <w10:wrap type="none"/>
            <w10:anchorlock/>
          </v:shape>
          <o:OLEObject Type="Embed" ProgID="Equation.3" ShapeID="_x0000_i1031" DrawAspect="Content" ObjectID="_1468075731" r:id="rId48">
            <o:LockedField>false</o:LockedField>
          </o:OLEObject>
        </w:object>
      </w:r>
      <w:r>
        <w:t>和固有周期</w:t>
      </w:r>
      <w:r>
        <w:rPr>
          <w:i/>
        </w:rPr>
        <w:t>T</w:t>
      </w:r>
      <w:r>
        <w:rPr>
          <w:vertAlign w:val="subscript"/>
        </w:rPr>
        <w:t>n</w:t>
      </w:r>
      <w:r>
        <w:t>可分别取基组的水平回转耦合振动第一、第二振型阻尼比</w:t>
      </w:r>
      <w:r>
        <w:rPr>
          <w:position w:val="-14"/>
        </w:rPr>
        <w:object>
          <v:shape id="_x0000_i1032" o:spt="75" type="#_x0000_t75" style="height:18.75pt;width:26.25pt;" o:ole="t" filled="f" o:preferrelative="t" stroked="f" coordsize="21600,21600">
            <v:path/>
            <v:fill on="f" focussize="0,0"/>
            <v:stroke on="f" joinstyle="miter"/>
            <v:imagedata r:id="rId51" o:title=""/>
            <o:lock v:ext="edit" aspectratio="t"/>
            <w10:wrap type="none"/>
            <w10:anchorlock/>
          </v:shape>
          <o:OLEObject Type="Embed" ProgID="Equation.3" ShapeID="_x0000_i1032" DrawAspect="Content" ObjectID="_1468075732" r:id="rId50">
            <o:LockedField>false</o:LockedField>
          </o:OLEObject>
        </w:object>
      </w:r>
      <w:r>
        <w:t>、</w:t>
      </w:r>
      <w:r>
        <w:rPr>
          <w:position w:val="-14"/>
        </w:rPr>
        <w:object>
          <v:shape id="_x0000_i1033" o:spt="75" type="#_x0000_t75" style="height:18.75pt;width:29.25pt;" o:ole="t" filled="f" o:preferrelative="t" stroked="f" coordsize="21600,21600">
            <v:path/>
            <v:fill on="f" focussize="0,0"/>
            <v:stroke on="f" joinstyle="miter"/>
            <v:imagedata r:id="rId53" o:title=""/>
            <o:lock v:ext="edit" aspectratio="t"/>
            <w10:wrap type="none"/>
            <w10:anchorlock/>
          </v:shape>
          <o:OLEObject Type="Embed" ProgID="Equation.3" ShapeID="_x0000_i1033" DrawAspect="Content" ObjectID="_1468075733" r:id="rId52">
            <o:LockedField>false</o:LockedField>
          </o:OLEObject>
        </w:object>
      </w:r>
      <w:r>
        <w:t>、</w:t>
      </w:r>
      <w:r>
        <w:rPr>
          <w:position w:val="-14"/>
        </w:rPr>
        <w:object>
          <v:shape id="_x0000_i1034" o:spt="75" type="#_x0000_t75" style="height:18.75pt;width:26.25pt;" o:ole="t" filled="f" o:preferrelative="t" stroked="f" coordsize="21600,21600">
            <v:path/>
            <v:fill on="f" focussize="0,0"/>
            <v:stroke on="f" joinstyle="miter"/>
            <v:imagedata r:id="rId55" o:title=""/>
            <o:lock v:ext="edit" aspectratio="t"/>
            <w10:wrap type="none"/>
            <w10:anchorlock/>
          </v:shape>
          <o:OLEObject Type="Embed" ProgID="Equation.3" ShapeID="_x0000_i1034" DrawAspect="Content" ObjectID="_1468075734" r:id="rId54">
            <o:LockedField>false</o:LockedField>
          </o:OLEObject>
        </w:object>
      </w:r>
      <w:r>
        <w:t>、</w:t>
      </w:r>
      <w:r>
        <w:rPr>
          <w:position w:val="-14"/>
        </w:rPr>
        <w:object>
          <v:shape id="_x0000_i1035" o:spt="75" type="#_x0000_t75" style="height:18.75pt;width:29.25pt;" o:ole="t" filled="f" o:preferrelative="t" stroked="f" coordsize="21600,21600">
            <v:path/>
            <v:fill on="f" focussize="0,0"/>
            <v:stroke on="f" joinstyle="miter"/>
            <v:imagedata r:id="rId57" o:title=""/>
            <o:lock v:ext="edit" aspectratio="t"/>
            <w10:wrap type="none"/>
            <w10:anchorlock/>
          </v:shape>
          <o:OLEObject Type="Embed" ProgID="Equation.3" ShapeID="_x0000_i1035" DrawAspect="Content" ObjectID="_1468075735" r:id="rId56">
            <o:LockedField>false</o:LockedField>
          </o:OLEObject>
        </w:object>
      </w:r>
      <w:r>
        <w:t>、第一、第二振型固有周期</w:t>
      </w:r>
      <w:r>
        <w:rPr>
          <w:i/>
        </w:rPr>
        <w:t>T</w:t>
      </w:r>
      <w:r>
        <w:rPr>
          <w:vertAlign w:val="subscript"/>
        </w:rPr>
        <w:t>n1</w:t>
      </w:r>
      <w:r>
        <w:t>、</w:t>
      </w:r>
      <w:r>
        <w:rPr>
          <w:i/>
        </w:rPr>
        <w:t>T</w:t>
      </w:r>
      <w:r>
        <w:rPr>
          <w:vertAlign w:val="subscript"/>
        </w:rPr>
        <w:t>n2</w:t>
      </w:r>
      <w:r>
        <w:t>。</w:t>
      </w:r>
    </w:p>
    <w:p w14:paraId="6F8BE121">
      <w:pPr>
        <w:spacing w:before="156"/>
        <w:ind w:firstLine="480"/>
        <w:rPr>
          <w:sz w:val="28"/>
        </w:rPr>
      </w:pPr>
      <w:r>
        <w:t>3基组竖向、水平向和回转向扰力或扰力矩脉冲时间</w:t>
      </w:r>
      <w:r>
        <w:rPr>
          <w:i/>
        </w:rPr>
        <w:t>t</w:t>
      </w:r>
      <w:r>
        <w:rPr>
          <w:vertAlign w:val="subscript"/>
        </w:rPr>
        <w:t>o</w:t>
      </w:r>
      <w:r>
        <w:rPr>
          <w:rFonts w:hint="eastAsia"/>
        </w:rPr>
        <w:t>宜取</w:t>
      </w:r>
      <w:r>
        <w:t>相同</w:t>
      </w:r>
      <w:r>
        <w:rPr>
          <w:rFonts w:hint="eastAsia"/>
        </w:rPr>
        <w:t>值</w:t>
      </w:r>
      <w:r>
        <w:t>。</w:t>
      </w:r>
    </w:p>
    <w:p w14:paraId="6448A706">
      <w:pPr>
        <w:pStyle w:val="39"/>
      </w:pPr>
      <w:r>
        <w:t>表B.0.2-1 后峰齿形脉冲的</w:t>
      </w:r>
      <w:r>
        <w:rPr>
          <w:i/>
        </w:rPr>
        <w:t>η</w:t>
      </w:r>
      <w:r>
        <w:rPr>
          <w:vertAlign w:val="subscript"/>
        </w:rPr>
        <w:t>max</w:t>
      </w:r>
      <w:r>
        <w:t>值</w:t>
      </w:r>
    </w:p>
    <w:tbl>
      <w:tblPr>
        <w:tblStyle w:val="32"/>
        <w:tblW w:w="9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764"/>
        <w:gridCol w:w="764"/>
        <w:gridCol w:w="764"/>
        <w:gridCol w:w="763"/>
        <w:gridCol w:w="763"/>
        <w:gridCol w:w="763"/>
        <w:gridCol w:w="763"/>
        <w:gridCol w:w="763"/>
        <w:gridCol w:w="763"/>
        <w:gridCol w:w="763"/>
        <w:gridCol w:w="763"/>
      </w:tblGrid>
      <w:tr w14:paraId="33B7E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64" w:type="dxa"/>
            <w:tcBorders>
              <w:tl2br w:val="single" w:color="auto" w:sz="4" w:space="0"/>
            </w:tcBorders>
            <w:noWrap/>
            <w:tcMar>
              <w:left w:w="0" w:type="dxa"/>
              <w:right w:w="0" w:type="dxa"/>
            </w:tcMar>
            <w:vAlign w:val="center"/>
          </w:tcPr>
          <w:p w14:paraId="523C6AB8">
            <w:pPr>
              <w:pStyle w:val="39"/>
              <w:jc w:val="right"/>
              <w:rPr>
                <w:rFonts w:ascii="宋体" w:hAnsi="宋体"/>
                <w:sz w:val="21"/>
                <w:szCs w:val="21"/>
              </w:rPr>
            </w:pPr>
            <w:r>
              <w:rPr>
                <w:rFonts w:ascii="宋体" w:hAnsi="宋体"/>
                <w:sz w:val="21"/>
                <w:szCs w:val="21"/>
              </w:rPr>
              <w:t xml:space="preserve">ζ </w:t>
            </w:r>
          </w:p>
          <w:p w14:paraId="72D6F101">
            <w:pPr>
              <w:pStyle w:val="39"/>
              <w:jc w:val="left"/>
              <w:rPr>
                <w:rFonts w:ascii="宋体" w:hAnsi="宋体"/>
                <w:sz w:val="21"/>
                <w:szCs w:val="21"/>
              </w:rPr>
            </w:pPr>
            <w:r>
              <w:rPr>
                <w:rFonts w:ascii="宋体" w:hAnsi="宋体"/>
                <w:i/>
                <w:sz w:val="21"/>
                <w:szCs w:val="21"/>
              </w:rPr>
              <w:t>t</w:t>
            </w:r>
            <w:r>
              <w:rPr>
                <w:rFonts w:ascii="宋体" w:hAnsi="宋体"/>
                <w:sz w:val="21"/>
                <w:szCs w:val="21"/>
                <w:vertAlign w:val="subscript"/>
              </w:rPr>
              <w:t>o</w:t>
            </w:r>
            <w:r>
              <w:rPr>
                <w:rFonts w:ascii="宋体" w:hAnsi="宋体"/>
                <w:sz w:val="21"/>
                <w:szCs w:val="21"/>
              </w:rPr>
              <w:t>/</w:t>
            </w:r>
            <w:r>
              <w:rPr>
                <w:rFonts w:ascii="宋体" w:hAnsi="宋体"/>
                <w:i/>
                <w:sz w:val="21"/>
                <w:szCs w:val="21"/>
              </w:rPr>
              <w:t>T</w:t>
            </w:r>
            <w:r>
              <w:rPr>
                <w:rFonts w:ascii="宋体" w:hAnsi="宋体"/>
                <w:sz w:val="21"/>
                <w:szCs w:val="21"/>
                <w:vertAlign w:val="subscript"/>
              </w:rPr>
              <w:t>n</w:t>
            </w:r>
          </w:p>
        </w:tc>
        <w:tc>
          <w:tcPr>
            <w:tcW w:w="764" w:type="dxa"/>
            <w:noWrap/>
            <w:tcMar>
              <w:left w:w="0" w:type="dxa"/>
              <w:right w:w="0" w:type="dxa"/>
            </w:tcMar>
            <w:vAlign w:val="center"/>
          </w:tcPr>
          <w:p w14:paraId="3AE89D3D">
            <w:pPr>
              <w:pStyle w:val="39"/>
              <w:rPr>
                <w:rFonts w:ascii="宋体" w:hAnsi="宋体"/>
                <w:sz w:val="21"/>
                <w:szCs w:val="21"/>
              </w:rPr>
            </w:pPr>
            <w:r>
              <w:rPr>
                <w:rFonts w:ascii="宋体" w:hAnsi="宋体"/>
                <w:sz w:val="21"/>
                <w:szCs w:val="21"/>
              </w:rPr>
              <w:t>0.00</w:t>
            </w:r>
          </w:p>
        </w:tc>
        <w:tc>
          <w:tcPr>
            <w:tcW w:w="764" w:type="dxa"/>
            <w:noWrap/>
            <w:tcMar>
              <w:left w:w="0" w:type="dxa"/>
              <w:right w:w="0" w:type="dxa"/>
            </w:tcMar>
            <w:vAlign w:val="center"/>
          </w:tcPr>
          <w:p w14:paraId="08E4F9F7">
            <w:pPr>
              <w:pStyle w:val="39"/>
              <w:rPr>
                <w:rFonts w:ascii="宋体" w:hAnsi="宋体"/>
                <w:sz w:val="21"/>
                <w:szCs w:val="21"/>
              </w:rPr>
            </w:pPr>
            <w:r>
              <w:rPr>
                <w:rFonts w:ascii="宋体" w:hAnsi="宋体"/>
                <w:sz w:val="21"/>
                <w:szCs w:val="21"/>
              </w:rPr>
              <w:t>0.05</w:t>
            </w:r>
          </w:p>
        </w:tc>
        <w:tc>
          <w:tcPr>
            <w:tcW w:w="764" w:type="dxa"/>
            <w:noWrap/>
            <w:tcMar>
              <w:left w:w="0" w:type="dxa"/>
              <w:right w:w="0" w:type="dxa"/>
            </w:tcMar>
            <w:vAlign w:val="center"/>
          </w:tcPr>
          <w:p w14:paraId="5356332C">
            <w:pPr>
              <w:pStyle w:val="39"/>
              <w:rPr>
                <w:rFonts w:ascii="宋体" w:hAnsi="宋体"/>
                <w:sz w:val="21"/>
                <w:szCs w:val="21"/>
              </w:rPr>
            </w:pPr>
            <w:r>
              <w:rPr>
                <w:rFonts w:ascii="宋体" w:hAnsi="宋体"/>
                <w:sz w:val="21"/>
                <w:szCs w:val="21"/>
              </w:rPr>
              <w:t>0.10</w:t>
            </w:r>
          </w:p>
        </w:tc>
        <w:tc>
          <w:tcPr>
            <w:tcW w:w="763" w:type="dxa"/>
            <w:noWrap/>
            <w:tcMar>
              <w:left w:w="0" w:type="dxa"/>
              <w:right w:w="0" w:type="dxa"/>
            </w:tcMar>
            <w:vAlign w:val="center"/>
          </w:tcPr>
          <w:p w14:paraId="2CF612E6">
            <w:pPr>
              <w:pStyle w:val="39"/>
              <w:rPr>
                <w:rFonts w:ascii="宋体" w:hAnsi="宋体"/>
                <w:sz w:val="21"/>
                <w:szCs w:val="21"/>
              </w:rPr>
            </w:pPr>
            <w:r>
              <w:rPr>
                <w:rFonts w:ascii="宋体" w:hAnsi="宋体"/>
                <w:sz w:val="21"/>
                <w:szCs w:val="21"/>
              </w:rPr>
              <w:t>0.15</w:t>
            </w:r>
          </w:p>
        </w:tc>
        <w:tc>
          <w:tcPr>
            <w:tcW w:w="763" w:type="dxa"/>
            <w:noWrap/>
            <w:tcMar>
              <w:left w:w="0" w:type="dxa"/>
              <w:right w:w="0" w:type="dxa"/>
            </w:tcMar>
            <w:vAlign w:val="center"/>
          </w:tcPr>
          <w:p w14:paraId="773FDB51">
            <w:pPr>
              <w:pStyle w:val="39"/>
              <w:rPr>
                <w:rFonts w:ascii="宋体" w:hAnsi="宋体"/>
                <w:sz w:val="21"/>
                <w:szCs w:val="21"/>
              </w:rPr>
            </w:pPr>
            <w:r>
              <w:rPr>
                <w:rFonts w:ascii="宋体" w:hAnsi="宋体"/>
                <w:sz w:val="21"/>
                <w:szCs w:val="21"/>
              </w:rPr>
              <w:t>0.20</w:t>
            </w:r>
          </w:p>
        </w:tc>
        <w:tc>
          <w:tcPr>
            <w:tcW w:w="763" w:type="dxa"/>
            <w:noWrap/>
            <w:tcMar>
              <w:left w:w="0" w:type="dxa"/>
              <w:right w:w="0" w:type="dxa"/>
            </w:tcMar>
            <w:vAlign w:val="center"/>
          </w:tcPr>
          <w:p w14:paraId="67CDA37E">
            <w:pPr>
              <w:pStyle w:val="39"/>
              <w:rPr>
                <w:rFonts w:ascii="宋体" w:hAnsi="宋体"/>
                <w:sz w:val="21"/>
                <w:szCs w:val="21"/>
              </w:rPr>
            </w:pPr>
            <w:r>
              <w:rPr>
                <w:rFonts w:ascii="宋体" w:hAnsi="宋体"/>
                <w:sz w:val="21"/>
                <w:szCs w:val="21"/>
              </w:rPr>
              <w:t>0.25</w:t>
            </w:r>
          </w:p>
        </w:tc>
        <w:tc>
          <w:tcPr>
            <w:tcW w:w="763" w:type="dxa"/>
            <w:noWrap/>
            <w:tcMar>
              <w:left w:w="0" w:type="dxa"/>
              <w:right w:w="0" w:type="dxa"/>
            </w:tcMar>
            <w:vAlign w:val="center"/>
          </w:tcPr>
          <w:p w14:paraId="5705F65C">
            <w:pPr>
              <w:pStyle w:val="39"/>
              <w:rPr>
                <w:rFonts w:ascii="宋体" w:hAnsi="宋体"/>
                <w:sz w:val="21"/>
                <w:szCs w:val="21"/>
              </w:rPr>
            </w:pPr>
            <w:r>
              <w:rPr>
                <w:rFonts w:ascii="宋体" w:hAnsi="宋体"/>
                <w:sz w:val="21"/>
                <w:szCs w:val="21"/>
              </w:rPr>
              <w:t>0.30</w:t>
            </w:r>
          </w:p>
        </w:tc>
        <w:tc>
          <w:tcPr>
            <w:tcW w:w="763" w:type="dxa"/>
            <w:noWrap/>
            <w:tcMar>
              <w:left w:w="0" w:type="dxa"/>
              <w:right w:w="0" w:type="dxa"/>
            </w:tcMar>
            <w:vAlign w:val="center"/>
          </w:tcPr>
          <w:p w14:paraId="1AC8FC3E">
            <w:pPr>
              <w:pStyle w:val="39"/>
              <w:rPr>
                <w:rFonts w:ascii="宋体" w:hAnsi="宋体"/>
                <w:sz w:val="21"/>
                <w:szCs w:val="21"/>
              </w:rPr>
            </w:pPr>
            <w:r>
              <w:rPr>
                <w:rFonts w:ascii="宋体" w:hAnsi="宋体"/>
                <w:sz w:val="21"/>
                <w:szCs w:val="21"/>
              </w:rPr>
              <w:t>0.35</w:t>
            </w:r>
          </w:p>
        </w:tc>
        <w:tc>
          <w:tcPr>
            <w:tcW w:w="763" w:type="dxa"/>
            <w:noWrap/>
            <w:tcMar>
              <w:left w:w="0" w:type="dxa"/>
              <w:right w:w="0" w:type="dxa"/>
            </w:tcMar>
            <w:vAlign w:val="center"/>
          </w:tcPr>
          <w:p w14:paraId="2B81A1AE">
            <w:pPr>
              <w:pStyle w:val="39"/>
              <w:rPr>
                <w:rFonts w:ascii="宋体" w:hAnsi="宋体"/>
                <w:sz w:val="21"/>
                <w:szCs w:val="21"/>
              </w:rPr>
            </w:pPr>
            <w:r>
              <w:rPr>
                <w:rFonts w:ascii="宋体" w:hAnsi="宋体"/>
                <w:sz w:val="21"/>
                <w:szCs w:val="21"/>
              </w:rPr>
              <w:t>0.40</w:t>
            </w:r>
          </w:p>
        </w:tc>
        <w:tc>
          <w:tcPr>
            <w:tcW w:w="763" w:type="dxa"/>
            <w:noWrap/>
            <w:tcMar>
              <w:left w:w="0" w:type="dxa"/>
              <w:right w:w="0" w:type="dxa"/>
            </w:tcMar>
            <w:vAlign w:val="center"/>
          </w:tcPr>
          <w:p w14:paraId="27244ACF">
            <w:pPr>
              <w:pStyle w:val="39"/>
              <w:rPr>
                <w:rFonts w:ascii="宋体" w:hAnsi="宋体"/>
                <w:sz w:val="21"/>
                <w:szCs w:val="21"/>
              </w:rPr>
            </w:pPr>
            <w:r>
              <w:rPr>
                <w:rFonts w:ascii="宋体" w:hAnsi="宋体"/>
                <w:sz w:val="21"/>
                <w:szCs w:val="21"/>
              </w:rPr>
              <w:t>0.45</w:t>
            </w:r>
          </w:p>
        </w:tc>
        <w:tc>
          <w:tcPr>
            <w:tcW w:w="763" w:type="dxa"/>
            <w:noWrap/>
            <w:tcMar>
              <w:left w:w="0" w:type="dxa"/>
              <w:right w:w="0" w:type="dxa"/>
            </w:tcMar>
            <w:vAlign w:val="center"/>
          </w:tcPr>
          <w:p w14:paraId="36569C53">
            <w:pPr>
              <w:pStyle w:val="39"/>
              <w:rPr>
                <w:rFonts w:ascii="宋体" w:hAnsi="宋体"/>
                <w:sz w:val="21"/>
                <w:szCs w:val="21"/>
              </w:rPr>
            </w:pPr>
            <w:r>
              <w:rPr>
                <w:rFonts w:ascii="宋体" w:hAnsi="宋体"/>
                <w:sz w:val="21"/>
                <w:szCs w:val="21"/>
              </w:rPr>
              <w:t>0.50</w:t>
            </w:r>
          </w:p>
        </w:tc>
      </w:tr>
      <w:tr w14:paraId="2711A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64" w:type="dxa"/>
            <w:noWrap/>
            <w:tcMar>
              <w:left w:w="0" w:type="dxa"/>
              <w:right w:w="0" w:type="dxa"/>
            </w:tcMar>
            <w:vAlign w:val="center"/>
          </w:tcPr>
          <w:p w14:paraId="3225D14D">
            <w:pPr>
              <w:pStyle w:val="39"/>
              <w:rPr>
                <w:rFonts w:ascii="宋体" w:hAnsi="宋体"/>
                <w:sz w:val="21"/>
                <w:szCs w:val="21"/>
              </w:rPr>
            </w:pPr>
            <w:r>
              <w:rPr>
                <w:rFonts w:ascii="宋体" w:hAnsi="宋体"/>
                <w:sz w:val="21"/>
                <w:szCs w:val="21"/>
              </w:rPr>
              <w:t>0.05</w:t>
            </w:r>
          </w:p>
        </w:tc>
        <w:tc>
          <w:tcPr>
            <w:tcW w:w="764" w:type="dxa"/>
            <w:noWrap/>
            <w:tcMar>
              <w:left w:w="0" w:type="dxa"/>
              <w:right w:w="0" w:type="dxa"/>
            </w:tcMar>
            <w:vAlign w:val="center"/>
          </w:tcPr>
          <w:p w14:paraId="6FDB4D70">
            <w:pPr>
              <w:pStyle w:val="39"/>
              <w:rPr>
                <w:rFonts w:ascii="宋体" w:hAnsi="宋体"/>
                <w:sz w:val="21"/>
                <w:szCs w:val="21"/>
              </w:rPr>
            </w:pPr>
            <w:r>
              <w:rPr>
                <w:rFonts w:ascii="宋体" w:hAnsi="宋体"/>
                <w:sz w:val="21"/>
                <w:szCs w:val="21"/>
              </w:rPr>
              <w:t>0.1568</w:t>
            </w:r>
          </w:p>
        </w:tc>
        <w:tc>
          <w:tcPr>
            <w:tcW w:w="764" w:type="dxa"/>
            <w:noWrap/>
            <w:tcMar>
              <w:left w:w="0" w:type="dxa"/>
              <w:right w:w="0" w:type="dxa"/>
            </w:tcMar>
            <w:vAlign w:val="center"/>
          </w:tcPr>
          <w:p w14:paraId="4B36B30E">
            <w:pPr>
              <w:pStyle w:val="39"/>
              <w:rPr>
                <w:rFonts w:ascii="宋体" w:hAnsi="宋体"/>
                <w:sz w:val="21"/>
                <w:szCs w:val="21"/>
              </w:rPr>
            </w:pPr>
            <w:r>
              <w:rPr>
                <w:rFonts w:ascii="宋体" w:hAnsi="宋体"/>
                <w:sz w:val="21"/>
                <w:szCs w:val="21"/>
              </w:rPr>
              <w:t>0.1452</w:t>
            </w:r>
          </w:p>
        </w:tc>
        <w:tc>
          <w:tcPr>
            <w:tcW w:w="764" w:type="dxa"/>
            <w:noWrap/>
            <w:tcMar>
              <w:left w:w="0" w:type="dxa"/>
              <w:right w:w="0" w:type="dxa"/>
            </w:tcMar>
            <w:vAlign w:val="center"/>
          </w:tcPr>
          <w:p w14:paraId="0C7FF32F">
            <w:pPr>
              <w:pStyle w:val="39"/>
              <w:rPr>
                <w:rFonts w:ascii="宋体" w:hAnsi="宋体"/>
                <w:sz w:val="21"/>
                <w:szCs w:val="21"/>
              </w:rPr>
            </w:pPr>
            <w:r>
              <w:rPr>
                <w:rFonts w:ascii="宋体" w:hAnsi="宋体"/>
                <w:sz w:val="21"/>
                <w:szCs w:val="21"/>
              </w:rPr>
              <w:t>0.1352</w:t>
            </w:r>
          </w:p>
        </w:tc>
        <w:tc>
          <w:tcPr>
            <w:tcW w:w="763" w:type="dxa"/>
            <w:noWrap/>
            <w:tcMar>
              <w:left w:w="0" w:type="dxa"/>
              <w:right w:w="0" w:type="dxa"/>
            </w:tcMar>
            <w:vAlign w:val="center"/>
          </w:tcPr>
          <w:p w14:paraId="23A11669">
            <w:pPr>
              <w:pStyle w:val="39"/>
              <w:rPr>
                <w:rFonts w:ascii="宋体" w:hAnsi="宋体"/>
                <w:sz w:val="21"/>
                <w:szCs w:val="21"/>
              </w:rPr>
            </w:pPr>
            <w:r>
              <w:rPr>
                <w:rFonts w:ascii="宋体" w:hAnsi="宋体"/>
                <w:sz w:val="21"/>
                <w:szCs w:val="21"/>
              </w:rPr>
              <w:t>0.1263</w:t>
            </w:r>
          </w:p>
        </w:tc>
        <w:tc>
          <w:tcPr>
            <w:tcW w:w="763" w:type="dxa"/>
            <w:noWrap/>
            <w:tcMar>
              <w:left w:w="0" w:type="dxa"/>
              <w:right w:w="0" w:type="dxa"/>
            </w:tcMar>
            <w:vAlign w:val="center"/>
          </w:tcPr>
          <w:p w14:paraId="75E586CB">
            <w:pPr>
              <w:pStyle w:val="39"/>
              <w:rPr>
                <w:rFonts w:ascii="宋体" w:hAnsi="宋体"/>
                <w:sz w:val="21"/>
                <w:szCs w:val="21"/>
              </w:rPr>
            </w:pPr>
            <w:r>
              <w:rPr>
                <w:rFonts w:ascii="宋体" w:hAnsi="宋体"/>
                <w:sz w:val="21"/>
                <w:szCs w:val="21"/>
              </w:rPr>
              <w:t>0.1184</w:t>
            </w:r>
          </w:p>
        </w:tc>
        <w:tc>
          <w:tcPr>
            <w:tcW w:w="763" w:type="dxa"/>
            <w:noWrap/>
            <w:tcMar>
              <w:left w:w="0" w:type="dxa"/>
              <w:right w:w="0" w:type="dxa"/>
            </w:tcMar>
            <w:vAlign w:val="center"/>
          </w:tcPr>
          <w:p w14:paraId="017112FC">
            <w:pPr>
              <w:pStyle w:val="39"/>
              <w:rPr>
                <w:rFonts w:ascii="宋体" w:hAnsi="宋体"/>
                <w:sz w:val="21"/>
                <w:szCs w:val="21"/>
              </w:rPr>
            </w:pPr>
            <w:r>
              <w:rPr>
                <w:rFonts w:ascii="宋体" w:hAnsi="宋体"/>
                <w:sz w:val="21"/>
                <w:szCs w:val="21"/>
              </w:rPr>
              <w:t>0.1115</w:t>
            </w:r>
          </w:p>
        </w:tc>
        <w:tc>
          <w:tcPr>
            <w:tcW w:w="763" w:type="dxa"/>
            <w:noWrap/>
            <w:tcMar>
              <w:left w:w="0" w:type="dxa"/>
              <w:right w:w="0" w:type="dxa"/>
            </w:tcMar>
            <w:vAlign w:val="center"/>
          </w:tcPr>
          <w:p w14:paraId="69F1FD20">
            <w:pPr>
              <w:pStyle w:val="39"/>
              <w:rPr>
                <w:rFonts w:ascii="宋体" w:hAnsi="宋体"/>
                <w:sz w:val="21"/>
                <w:szCs w:val="21"/>
              </w:rPr>
            </w:pPr>
            <w:r>
              <w:rPr>
                <w:rFonts w:ascii="宋体" w:hAnsi="宋体"/>
                <w:sz w:val="21"/>
                <w:szCs w:val="21"/>
              </w:rPr>
              <w:t>0.1052</w:t>
            </w:r>
          </w:p>
        </w:tc>
        <w:tc>
          <w:tcPr>
            <w:tcW w:w="763" w:type="dxa"/>
            <w:noWrap/>
            <w:tcMar>
              <w:left w:w="0" w:type="dxa"/>
              <w:right w:w="0" w:type="dxa"/>
            </w:tcMar>
            <w:vAlign w:val="center"/>
          </w:tcPr>
          <w:p w14:paraId="03889B95">
            <w:pPr>
              <w:pStyle w:val="39"/>
              <w:rPr>
                <w:rFonts w:ascii="宋体" w:hAnsi="宋体"/>
                <w:sz w:val="21"/>
                <w:szCs w:val="21"/>
              </w:rPr>
            </w:pPr>
            <w:r>
              <w:rPr>
                <w:rFonts w:ascii="宋体" w:hAnsi="宋体"/>
                <w:sz w:val="21"/>
                <w:szCs w:val="21"/>
              </w:rPr>
              <w:t>0.0996</w:t>
            </w:r>
          </w:p>
        </w:tc>
        <w:tc>
          <w:tcPr>
            <w:tcW w:w="763" w:type="dxa"/>
            <w:noWrap/>
            <w:tcMar>
              <w:left w:w="0" w:type="dxa"/>
              <w:right w:w="0" w:type="dxa"/>
            </w:tcMar>
            <w:vAlign w:val="center"/>
          </w:tcPr>
          <w:p w14:paraId="2AC551BC">
            <w:pPr>
              <w:pStyle w:val="39"/>
              <w:rPr>
                <w:rFonts w:ascii="宋体" w:hAnsi="宋体"/>
                <w:sz w:val="21"/>
                <w:szCs w:val="21"/>
              </w:rPr>
            </w:pPr>
            <w:r>
              <w:rPr>
                <w:rFonts w:ascii="宋体" w:hAnsi="宋体"/>
                <w:sz w:val="21"/>
                <w:szCs w:val="21"/>
              </w:rPr>
              <w:t>0.0944</w:t>
            </w:r>
          </w:p>
        </w:tc>
        <w:tc>
          <w:tcPr>
            <w:tcW w:w="763" w:type="dxa"/>
            <w:noWrap/>
            <w:tcMar>
              <w:left w:w="0" w:type="dxa"/>
              <w:right w:w="0" w:type="dxa"/>
            </w:tcMar>
            <w:vAlign w:val="center"/>
          </w:tcPr>
          <w:p w14:paraId="6EDD7262">
            <w:pPr>
              <w:pStyle w:val="39"/>
              <w:rPr>
                <w:rFonts w:ascii="宋体" w:hAnsi="宋体"/>
                <w:sz w:val="21"/>
                <w:szCs w:val="21"/>
              </w:rPr>
            </w:pPr>
            <w:r>
              <w:rPr>
                <w:rFonts w:ascii="宋体" w:hAnsi="宋体"/>
                <w:sz w:val="21"/>
                <w:szCs w:val="21"/>
              </w:rPr>
              <w:t>0.0898</w:t>
            </w:r>
          </w:p>
        </w:tc>
        <w:tc>
          <w:tcPr>
            <w:tcW w:w="763" w:type="dxa"/>
            <w:noWrap/>
            <w:tcMar>
              <w:left w:w="0" w:type="dxa"/>
              <w:right w:w="0" w:type="dxa"/>
            </w:tcMar>
            <w:vAlign w:val="center"/>
          </w:tcPr>
          <w:p w14:paraId="407A18AE">
            <w:pPr>
              <w:pStyle w:val="39"/>
              <w:rPr>
                <w:rFonts w:ascii="宋体" w:hAnsi="宋体"/>
                <w:sz w:val="21"/>
                <w:szCs w:val="21"/>
              </w:rPr>
            </w:pPr>
            <w:r>
              <w:rPr>
                <w:rFonts w:ascii="宋体" w:hAnsi="宋体"/>
                <w:sz w:val="21"/>
                <w:szCs w:val="21"/>
              </w:rPr>
              <w:t>0.0856</w:t>
            </w:r>
          </w:p>
        </w:tc>
      </w:tr>
      <w:tr w14:paraId="30AD2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64" w:type="dxa"/>
            <w:noWrap/>
            <w:tcMar>
              <w:left w:w="0" w:type="dxa"/>
              <w:right w:w="0" w:type="dxa"/>
            </w:tcMar>
            <w:vAlign w:val="center"/>
          </w:tcPr>
          <w:p w14:paraId="6B51B141">
            <w:pPr>
              <w:pStyle w:val="39"/>
              <w:rPr>
                <w:rFonts w:ascii="宋体" w:hAnsi="宋体"/>
                <w:sz w:val="21"/>
                <w:szCs w:val="21"/>
              </w:rPr>
            </w:pPr>
            <w:r>
              <w:rPr>
                <w:rFonts w:ascii="宋体" w:hAnsi="宋体"/>
                <w:sz w:val="21"/>
                <w:szCs w:val="21"/>
              </w:rPr>
              <w:t>0.10</w:t>
            </w:r>
          </w:p>
        </w:tc>
        <w:tc>
          <w:tcPr>
            <w:tcW w:w="764" w:type="dxa"/>
            <w:noWrap/>
            <w:tcMar>
              <w:left w:w="0" w:type="dxa"/>
              <w:right w:w="0" w:type="dxa"/>
            </w:tcMar>
            <w:vAlign w:val="center"/>
          </w:tcPr>
          <w:p w14:paraId="3809F995">
            <w:pPr>
              <w:pStyle w:val="39"/>
              <w:rPr>
                <w:rFonts w:ascii="宋体" w:hAnsi="宋体"/>
                <w:sz w:val="21"/>
                <w:szCs w:val="21"/>
              </w:rPr>
            </w:pPr>
            <w:r>
              <w:rPr>
                <w:rFonts w:ascii="宋体" w:hAnsi="宋体"/>
                <w:sz w:val="21"/>
                <w:szCs w:val="21"/>
              </w:rPr>
              <w:t>0.3107</w:t>
            </w:r>
          </w:p>
        </w:tc>
        <w:tc>
          <w:tcPr>
            <w:tcW w:w="764" w:type="dxa"/>
            <w:noWrap/>
            <w:tcMar>
              <w:left w:w="0" w:type="dxa"/>
              <w:right w:w="0" w:type="dxa"/>
            </w:tcMar>
            <w:vAlign w:val="center"/>
          </w:tcPr>
          <w:p w14:paraId="71B8A36A">
            <w:pPr>
              <w:pStyle w:val="39"/>
              <w:rPr>
                <w:rFonts w:ascii="宋体" w:hAnsi="宋体"/>
                <w:sz w:val="21"/>
                <w:szCs w:val="21"/>
              </w:rPr>
            </w:pPr>
            <w:r>
              <w:rPr>
                <w:rFonts w:ascii="宋体" w:hAnsi="宋体"/>
                <w:sz w:val="21"/>
                <w:szCs w:val="21"/>
              </w:rPr>
              <w:t>0.2881</w:t>
            </w:r>
          </w:p>
        </w:tc>
        <w:tc>
          <w:tcPr>
            <w:tcW w:w="764" w:type="dxa"/>
            <w:noWrap/>
            <w:tcMar>
              <w:left w:w="0" w:type="dxa"/>
              <w:right w:w="0" w:type="dxa"/>
            </w:tcMar>
            <w:vAlign w:val="center"/>
          </w:tcPr>
          <w:p w14:paraId="536214FD">
            <w:pPr>
              <w:pStyle w:val="39"/>
              <w:rPr>
                <w:rFonts w:ascii="宋体" w:hAnsi="宋体"/>
                <w:sz w:val="21"/>
                <w:szCs w:val="21"/>
              </w:rPr>
            </w:pPr>
            <w:r>
              <w:rPr>
                <w:rFonts w:ascii="宋体" w:hAnsi="宋体"/>
                <w:sz w:val="21"/>
                <w:szCs w:val="21"/>
              </w:rPr>
              <w:t>0.2681</w:t>
            </w:r>
          </w:p>
        </w:tc>
        <w:tc>
          <w:tcPr>
            <w:tcW w:w="763" w:type="dxa"/>
            <w:noWrap/>
            <w:tcMar>
              <w:left w:w="0" w:type="dxa"/>
              <w:right w:w="0" w:type="dxa"/>
            </w:tcMar>
            <w:vAlign w:val="center"/>
          </w:tcPr>
          <w:p w14:paraId="74CC14EF">
            <w:pPr>
              <w:pStyle w:val="39"/>
              <w:rPr>
                <w:rFonts w:ascii="宋体" w:hAnsi="宋体"/>
                <w:sz w:val="21"/>
                <w:szCs w:val="21"/>
              </w:rPr>
            </w:pPr>
            <w:r>
              <w:rPr>
                <w:rFonts w:ascii="宋体" w:hAnsi="宋体"/>
                <w:sz w:val="21"/>
                <w:szCs w:val="21"/>
              </w:rPr>
              <w:t>0.2505</w:t>
            </w:r>
          </w:p>
        </w:tc>
        <w:tc>
          <w:tcPr>
            <w:tcW w:w="763" w:type="dxa"/>
            <w:noWrap/>
            <w:tcMar>
              <w:left w:w="0" w:type="dxa"/>
              <w:right w:w="0" w:type="dxa"/>
            </w:tcMar>
            <w:vAlign w:val="center"/>
          </w:tcPr>
          <w:p w14:paraId="544C0BA9">
            <w:pPr>
              <w:pStyle w:val="39"/>
              <w:rPr>
                <w:rFonts w:ascii="宋体" w:hAnsi="宋体"/>
                <w:sz w:val="21"/>
                <w:szCs w:val="21"/>
              </w:rPr>
            </w:pPr>
            <w:r>
              <w:rPr>
                <w:rFonts w:ascii="宋体" w:hAnsi="宋体"/>
                <w:sz w:val="21"/>
                <w:szCs w:val="21"/>
              </w:rPr>
              <w:t>0.2350</w:t>
            </w:r>
          </w:p>
        </w:tc>
        <w:tc>
          <w:tcPr>
            <w:tcW w:w="763" w:type="dxa"/>
            <w:noWrap/>
            <w:tcMar>
              <w:left w:w="0" w:type="dxa"/>
              <w:right w:w="0" w:type="dxa"/>
            </w:tcMar>
            <w:vAlign w:val="center"/>
          </w:tcPr>
          <w:p w14:paraId="04682F89">
            <w:pPr>
              <w:pStyle w:val="39"/>
              <w:rPr>
                <w:rFonts w:ascii="宋体" w:hAnsi="宋体"/>
                <w:sz w:val="21"/>
                <w:szCs w:val="21"/>
              </w:rPr>
            </w:pPr>
            <w:r>
              <w:rPr>
                <w:rFonts w:ascii="宋体" w:hAnsi="宋体"/>
                <w:sz w:val="21"/>
                <w:szCs w:val="21"/>
              </w:rPr>
              <w:t>0.2212</w:t>
            </w:r>
          </w:p>
        </w:tc>
        <w:tc>
          <w:tcPr>
            <w:tcW w:w="763" w:type="dxa"/>
            <w:noWrap/>
            <w:tcMar>
              <w:left w:w="0" w:type="dxa"/>
              <w:right w:w="0" w:type="dxa"/>
            </w:tcMar>
            <w:vAlign w:val="center"/>
          </w:tcPr>
          <w:p w14:paraId="2BF445C8">
            <w:pPr>
              <w:pStyle w:val="39"/>
              <w:rPr>
                <w:rFonts w:ascii="宋体" w:hAnsi="宋体"/>
                <w:sz w:val="21"/>
                <w:szCs w:val="21"/>
              </w:rPr>
            </w:pPr>
            <w:r>
              <w:rPr>
                <w:rFonts w:ascii="宋体" w:hAnsi="宋体"/>
                <w:sz w:val="21"/>
                <w:szCs w:val="21"/>
              </w:rPr>
              <w:t>0.2087</w:t>
            </w:r>
          </w:p>
        </w:tc>
        <w:tc>
          <w:tcPr>
            <w:tcW w:w="763" w:type="dxa"/>
            <w:noWrap/>
            <w:tcMar>
              <w:left w:w="0" w:type="dxa"/>
              <w:right w:w="0" w:type="dxa"/>
            </w:tcMar>
            <w:vAlign w:val="center"/>
          </w:tcPr>
          <w:p w14:paraId="5525C72C">
            <w:pPr>
              <w:pStyle w:val="39"/>
              <w:rPr>
                <w:rFonts w:ascii="宋体" w:hAnsi="宋体"/>
                <w:sz w:val="21"/>
                <w:szCs w:val="21"/>
              </w:rPr>
            </w:pPr>
            <w:r>
              <w:rPr>
                <w:rFonts w:ascii="宋体" w:hAnsi="宋体"/>
                <w:sz w:val="21"/>
                <w:szCs w:val="21"/>
              </w:rPr>
              <w:t>0.1975</w:t>
            </w:r>
          </w:p>
        </w:tc>
        <w:tc>
          <w:tcPr>
            <w:tcW w:w="763" w:type="dxa"/>
            <w:noWrap/>
            <w:tcMar>
              <w:left w:w="0" w:type="dxa"/>
              <w:right w:w="0" w:type="dxa"/>
            </w:tcMar>
            <w:vAlign w:val="center"/>
          </w:tcPr>
          <w:p w14:paraId="2556C1B2">
            <w:pPr>
              <w:pStyle w:val="39"/>
              <w:rPr>
                <w:rFonts w:ascii="宋体" w:hAnsi="宋体"/>
                <w:sz w:val="21"/>
                <w:szCs w:val="21"/>
              </w:rPr>
            </w:pPr>
            <w:r>
              <w:rPr>
                <w:rFonts w:ascii="宋体" w:hAnsi="宋体"/>
                <w:sz w:val="21"/>
                <w:szCs w:val="21"/>
              </w:rPr>
              <w:t>0.1874</w:t>
            </w:r>
          </w:p>
        </w:tc>
        <w:tc>
          <w:tcPr>
            <w:tcW w:w="763" w:type="dxa"/>
            <w:noWrap/>
            <w:tcMar>
              <w:left w:w="0" w:type="dxa"/>
              <w:right w:w="0" w:type="dxa"/>
            </w:tcMar>
            <w:vAlign w:val="center"/>
          </w:tcPr>
          <w:p w14:paraId="0C5193EC">
            <w:pPr>
              <w:pStyle w:val="39"/>
              <w:rPr>
                <w:rFonts w:ascii="宋体" w:hAnsi="宋体"/>
                <w:sz w:val="21"/>
                <w:szCs w:val="21"/>
              </w:rPr>
            </w:pPr>
            <w:r>
              <w:rPr>
                <w:rFonts w:ascii="宋体" w:hAnsi="宋体"/>
                <w:sz w:val="21"/>
                <w:szCs w:val="21"/>
              </w:rPr>
              <w:t>0.1783</w:t>
            </w:r>
          </w:p>
        </w:tc>
        <w:tc>
          <w:tcPr>
            <w:tcW w:w="763" w:type="dxa"/>
            <w:noWrap/>
            <w:tcMar>
              <w:left w:w="0" w:type="dxa"/>
              <w:right w:w="0" w:type="dxa"/>
            </w:tcMar>
            <w:vAlign w:val="center"/>
          </w:tcPr>
          <w:p w14:paraId="30A47870">
            <w:pPr>
              <w:pStyle w:val="39"/>
              <w:rPr>
                <w:rFonts w:ascii="宋体" w:hAnsi="宋体"/>
                <w:sz w:val="21"/>
                <w:szCs w:val="21"/>
              </w:rPr>
            </w:pPr>
            <w:r>
              <w:rPr>
                <w:rFonts w:ascii="宋体" w:hAnsi="宋体"/>
                <w:sz w:val="21"/>
                <w:szCs w:val="21"/>
              </w:rPr>
              <w:t>0.1698</w:t>
            </w:r>
          </w:p>
        </w:tc>
      </w:tr>
      <w:tr w14:paraId="51B28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64" w:type="dxa"/>
            <w:noWrap/>
            <w:tcMar>
              <w:left w:w="0" w:type="dxa"/>
              <w:right w:w="0" w:type="dxa"/>
            </w:tcMar>
            <w:vAlign w:val="center"/>
          </w:tcPr>
          <w:p w14:paraId="7CD40AF1">
            <w:pPr>
              <w:pStyle w:val="39"/>
              <w:rPr>
                <w:rFonts w:ascii="宋体" w:hAnsi="宋体"/>
                <w:sz w:val="21"/>
                <w:szCs w:val="21"/>
              </w:rPr>
            </w:pPr>
            <w:r>
              <w:rPr>
                <w:rFonts w:ascii="宋体" w:hAnsi="宋体"/>
                <w:sz w:val="21"/>
                <w:szCs w:val="21"/>
              </w:rPr>
              <w:t>0.15</w:t>
            </w:r>
          </w:p>
        </w:tc>
        <w:tc>
          <w:tcPr>
            <w:tcW w:w="764" w:type="dxa"/>
            <w:noWrap/>
            <w:tcMar>
              <w:left w:w="0" w:type="dxa"/>
              <w:right w:w="0" w:type="dxa"/>
            </w:tcMar>
            <w:vAlign w:val="center"/>
          </w:tcPr>
          <w:p w14:paraId="6DB4B543">
            <w:pPr>
              <w:pStyle w:val="39"/>
              <w:rPr>
                <w:rFonts w:ascii="宋体" w:hAnsi="宋体"/>
                <w:sz w:val="21"/>
                <w:szCs w:val="21"/>
              </w:rPr>
            </w:pPr>
            <w:r>
              <w:rPr>
                <w:rFonts w:ascii="宋体" w:hAnsi="宋体"/>
                <w:sz w:val="21"/>
                <w:szCs w:val="21"/>
              </w:rPr>
              <w:t>0.4598</w:t>
            </w:r>
          </w:p>
        </w:tc>
        <w:tc>
          <w:tcPr>
            <w:tcW w:w="764" w:type="dxa"/>
            <w:noWrap/>
            <w:tcMar>
              <w:left w:w="0" w:type="dxa"/>
              <w:right w:w="0" w:type="dxa"/>
            </w:tcMar>
            <w:vAlign w:val="center"/>
          </w:tcPr>
          <w:p w14:paraId="489AB2F7">
            <w:pPr>
              <w:pStyle w:val="39"/>
              <w:rPr>
                <w:rFonts w:ascii="宋体" w:hAnsi="宋体"/>
                <w:sz w:val="21"/>
                <w:szCs w:val="21"/>
              </w:rPr>
            </w:pPr>
            <w:r>
              <w:rPr>
                <w:rFonts w:ascii="宋体" w:hAnsi="宋体"/>
                <w:sz w:val="21"/>
                <w:szCs w:val="21"/>
              </w:rPr>
              <w:t>0.4261</w:t>
            </w:r>
          </w:p>
        </w:tc>
        <w:tc>
          <w:tcPr>
            <w:tcW w:w="764" w:type="dxa"/>
            <w:noWrap/>
            <w:tcMar>
              <w:left w:w="0" w:type="dxa"/>
              <w:right w:w="0" w:type="dxa"/>
            </w:tcMar>
            <w:vAlign w:val="center"/>
          </w:tcPr>
          <w:p w14:paraId="71D08FA9">
            <w:pPr>
              <w:pStyle w:val="39"/>
              <w:rPr>
                <w:rFonts w:ascii="宋体" w:hAnsi="宋体"/>
                <w:sz w:val="21"/>
                <w:szCs w:val="21"/>
              </w:rPr>
            </w:pPr>
            <w:r>
              <w:rPr>
                <w:rFonts w:ascii="宋体" w:hAnsi="宋体"/>
                <w:sz w:val="21"/>
                <w:szCs w:val="21"/>
              </w:rPr>
              <w:t>0.3966</w:t>
            </w:r>
          </w:p>
        </w:tc>
        <w:tc>
          <w:tcPr>
            <w:tcW w:w="763" w:type="dxa"/>
            <w:noWrap/>
            <w:tcMar>
              <w:left w:w="0" w:type="dxa"/>
              <w:right w:w="0" w:type="dxa"/>
            </w:tcMar>
            <w:vAlign w:val="center"/>
          </w:tcPr>
          <w:p w14:paraId="69242FBE">
            <w:pPr>
              <w:pStyle w:val="39"/>
              <w:rPr>
                <w:rFonts w:ascii="宋体" w:hAnsi="宋体"/>
                <w:sz w:val="21"/>
                <w:szCs w:val="21"/>
              </w:rPr>
            </w:pPr>
            <w:r>
              <w:rPr>
                <w:rFonts w:ascii="宋体" w:hAnsi="宋体"/>
                <w:sz w:val="21"/>
                <w:szCs w:val="21"/>
              </w:rPr>
              <w:t>0.3708</w:t>
            </w:r>
          </w:p>
        </w:tc>
        <w:tc>
          <w:tcPr>
            <w:tcW w:w="763" w:type="dxa"/>
            <w:noWrap/>
            <w:tcMar>
              <w:left w:w="0" w:type="dxa"/>
              <w:right w:w="0" w:type="dxa"/>
            </w:tcMar>
            <w:vAlign w:val="center"/>
          </w:tcPr>
          <w:p w14:paraId="2C4874DA">
            <w:pPr>
              <w:pStyle w:val="39"/>
              <w:rPr>
                <w:rFonts w:ascii="宋体" w:hAnsi="宋体"/>
                <w:sz w:val="21"/>
                <w:szCs w:val="21"/>
              </w:rPr>
            </w:pPr>
            <w:r>
              <w:rPr>
                <w:rFonts w:ascii="宋体" w:hAnsi="宋体"/>
                <w:sz w:val="21"/>
                <w:szCs w:val="21"/>
              </w:rPr>
              <w:t>0.3477</w:t>
            </w:r>
          </w:p>
        </w:tc>
        <w:tc>
          <w:tcPr>
            <w:tcW w:w="763" w:type="dxa"/>
            <w:noWrap/>
            <w:tcMar>
              <w:left w:w="0" w:type="dxa"/>
              <w:right w:w="0" w:type="dxa"/>
            </w:tcMar>
            <w:vAlign w:val="center"/>
          </w:tcPr>
          <w:p w14:paraId="72B78717">
            <w:pPr>
              <w:pStyle w:val="39"/>
              <w:rPr>
                <w:rFonts w:ascii="宋体" w:hAnsi="宋体"/>
                <w:sz w:val="21"/>
                <w:szCs w:val="21"/>
              </w:rPr>
            </w:pPr>
            <w:r>
              <w:rPr>
                <w:rFonts w:ascii="宋体" w:hAnsi="宋体"/>
                <w:sz w:val="21"/>
                <w:szCs w:val="21"/>
              </w:rPr>
              <w:t>0.3273</w:t>
            </w:r>
          </w:p>
        </w:tc>
        <w:tc>
          <w:tcPr>
            <w:tcW w:w="763" w:type="dxa"/>
            <w:noWrap/>
            <w:tcMar>
              <w:left w:w="0" w:type="dxa"/>
              <w:right w:w="0" w:type="dxa"/>
            </w:tcMar>
            <w:vAlign w:val="center"/>
          </w:tcPr>
          <w:p w14:paraId="05C66A88">
            <w:pPr>
              <w:pStyle w:val="39"/>
              <w:rPr>
                <w:rFonts w:ascii="宋体" w:hAnsi="宋体"/>
                <w:sz w:val="21"/>
                <w:szCs w:val="21"/>
              </w:rPr>
            </w:pPr>
            <w:r>
              <w:rPr>
                <w:rFonts w:ascii="宋体" w:hAnsi="宋体"/>
                <w:sz w:val="21"/>
                <w:szCs w:val="21"/>
              </w:rPr>
              <w:t>0.3090</w:t>
            </w:r>
          </w:p>
        </w:tc>
        <w:tc>
          <w:tcPr>
            <w:tcW w:w="763" w:type="dxa"/>
            <w:noWrap/>
            <w:tcMar>
              <w:left w:w="0" w:type="dxa"/>
              <w:right w:w="0" w:type="dxa"/>
            </w:tcMar>
            <w:vAlign w:val="center"/>
          </w:tcPr>
          <w:p w14:paraId="27F1898C">
            <w:pPr>
              <w:pStyle w:val="39"/>
              <w:rPr>
                <w:rFonts w:ascii="宋体" w:hAnsi="宋体"/>
                <w:sz w:val="21"/>
                <w:szCs w:val="21"/>
              </w:rPr>
            </w:pPr>
            <w:r>
              <w:rPr>
                <w:rFonts w:ascii="宋体" w:hAnsi="宋体"/>
                <w:sz w:val="21"/>
                <w:szCs w:val="21"/>
              </w:rPr>
              <w:t>0.2924</w:t>
            </w:r>
          </w:p>
        </w:tc>
        <w:tc>
          <w:tcPr>
            <w:tcW w:w="763" w:type="dxa"/>
            <w:noWrap/>
            <w:tcMar>
              <w:left w:w="0" w:type="dxa"/>
              <w:right w:w="0" w:type="dxa"/>
            </w:tcMar>
            <w:vAlign w:val="center"/>
          </w:tcPr>
          <w:p w14:paraId="783684CA">
            <w:pPr>
              <w:pStyle w:val="39"/>
              <w:rPr>
                <w:rFonts w:ascii="宋体" w:hAnsi="宋体"/>
                <w:sz w:val="21"/>
                <w:szCs w:val="21"/>
              </w:rPr>
            </w:pPr>
            <w:r>
              <w:rPr>
                <w:rFonts w:ascii="宋体" w:hAnsi="宋体"/>
                <w:sz w:val="21"/>
                <w:szCs w:val="21"/>
              </w:rPr>
              <w:t>0.2774</w:t>
            </w:r>
          </w:p>
        </w:tc>
        <w:tc>
          <w:tcPr>
            <w:tcW w:w="763" w:type="dxa"/>
            <w:noWrap/>
            <w:tcMar>
              <w:left w:w="0" w:type="dxa"/>
              <w:right w:w="0" w:type="dxa"/>
            </w:tcMar>
            <w:vAlign w:val="center"/>
          </w:tcPr>
          <w:p w14:paraId="5E913DC8">
            <w:pPr>
              <w:pStyle w:val="39"/>
              <w:rPr>
                <w:rFonts w:ascii="宋体" w:hAnsi="宋体"/>
                <w:sz w:val="21"/>
                <w:szCs w:val="21"/>
              </w:rPr>
            </w:pPr>
            <w:r>
              <w:rPr>
                <w:rFonts w:ascii="宋体" w:hAnsi="宋体"/>
                <w:sz w:val="21"/>
                <w:szCs w:val="21"/>
              </w:rPr>
              <w:t>0.2639</w:t>
            </w:r>
          </w:p>
        </w:tc>
        <w:tc>
          <w:tcPr>
            <w:tcW w:w="763" w:type="dxa"/>
            <w:noWrap/>
            <w:tcMar>
              <w:left w:w="0" w:type="dxa"/>
              <w:right w:w="0" w:type="dxa"/>
            </w:tcMar>
            <w:vAlign w:val="center"/>
          </w:tcPr>
          <w:p w14:paraId="04FBFA00">
            <w:pPr>
              <w:pStyle w:val="39"/>
              <w:rPr>
                <w:rFonts w:ascii="宋体" w:hAnsi="宋体"/>
                <w:sz w:val="21"/>
                <w:szCs w:val="21"/>
              </w:rPr>
            </w:pPr>
            <w:r>
              <w:rPr>
                <w:rFonts w:ascii="宋体" w:hAnsi="宋体"/>
                <w:sz w:val="21"/>
                <w:szCs w:val="21"/>
              </w:rPr>
              <w:t>0.2514</w:t>
            </w:r>
          </w:p>
        </w:tc>
      </w:tr>
      <w:tr w14:paraId="69CCD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64" w:type="dxa"/>
            <w:noWrap/>
            <w:tcMar>
              <w:left w:w="0" w:type="dxa"/>
              <w:right w:w="0" w:type="dxa"/>
            </w:tcMar>
            <w:vAlign w:val="center"/>
          </w:tcPr>
          <w:p w14:paraId="499A80C6">
            <w:pPr>
              <w:pStyle w:val="39"/>
              <w:rPr>
                <w:rFonts w:ascii="宋体" w:hAnsi="宋体"/>
                <w:sz w:val="21"/>
                <w:szCs w:val="21"/>
              </w:rPr>
            </w:pPr>
            <w:r>
              <w:rPr>
                <w:rFonts w:ascii="宋体" w:hAnsi="宋体"/>
                <w:sz w:val="21"/>
                <w:szCs w:val="21"/>
              </w:rPr>
              <w:t>0.20</w:t>
            </w:r>
          </w:p>
        </w:tc>
        <w:tc>
          <w:tcPr>
            <w:tcW w:w="764" w:type="dxa"/>
            <w:noWrap/>
            <w:tcMar>
              <w:left w:w="0" w:type="dxa"/>
              <w:right w:w="0" w:type="dxa"/>
            </w:tcMar>
            <w:vAlign w:val="center"/>
          </w:tcPr>
          <w:p w14:paraId="474B1906">
            <w:pPr>
              <w:pStyle w:val="39"/>
              <w:rPr>
                <w:rFonts w:ascii="宋体" w:hAnsi="宋体"/>
                <w:sz w:val="21"/>
                <w:szCs w:val="21"/>
              </w:rPr>
            </w:pPr>
            <w:r>
              <w:rPr>
                <w:rFonts w:ascii="宋体" w:hAnsi="宋体"/>
                <w:sz w:val="21"/>
                <w:szCs w:val="21"/>
              </w:rPr>
              <w:t>0.6012</w:t>
            </w:r>
          </w:p>
        </w:tc>
        <w:tc>
          <w:tcPr>
            <w:tcW w:w="764" w:type="dxa"/>
            <w:noWrap/>
            <w:tcMar>
              <w:left w:w="0" w:type="dxa"/>
              <w:right w:w="0" w:type="dxa"/>
            </w:tcMar>
            <w:vAlign w:val="center"/>
          </w:tcPr>
          <w:p w14:paraId="270BE701">
            <w:pPr>
              <w:pStyle w:val="39"/>
              <w:rPr>
                <w:rFonts w:ascii="宋体" w:hAnsi="宋体"/>
                <w:sz w:val="21"/>
                <w:szCs w:val="21"/>
              </w:rPr>
            </w:pPr>
            <w:r>
              <w:rPr>
                <w:rFonts w:ascii="宋体" w:hAnsi="宋体"/>
                <w:sz w:val="21"/>
                <w:szCs w:val="21"/>
              </w:rPr>
              <w:t>0.5574</w:t>
            </w:r>
          </w:p>
        </w:tc>
        <w:tc>
          <w:tcPr>
            <w:tcW w:w="764" w:type="dxa"/>
            <w:noWrap/>
            <w:tcMar>
              <w:left w:w="0" w:type="dxa"/>
              <w:right w:w="0" w:type="dxa"/>
            </w:tcMar>
            <w:vAlign w:val="center"/>
          </w:tcPr>
          <w:p w14:paraId="0EA9D374">
            <w:pPr>
              <w:pStyle w:val="39"/>
              <w:rPr>
                <w:rFonts w:ascii="宋体" w:hAnsi="宋体"/>
                <w:sz w:val="21"/>
                <w:szCs w:val="21"/>
              </w:rPr>
            </w:pPr>
            <w:r>
              <w:rPr>
                <w:rFonts w:ascii="宋体" w:hAnsi="宋体"/>
                <w:sz w:val="21"/>
                <w:szCs w:val="21"/>
              </w:rPr>
              <w:t>0.5189</w:t>
            </w:r>
          </w:p>
        </w:tc>
        <w:tc>
          <w:tcPr>
            <w:tcW w:w="763" w:type="dxa"/>
            <w:noWrap/>
            <w:tcMar>
              <w:left w:w="0" w:type="dxa"/>
              <w:right w:w="0" w:type="dxa"/>
            </w:tcMar>
            <w:vAlign w:val="center"/>
          </w:tcPr>
          <w:p w14:paraId="2421C490">
            <w:pPr>
              <w:pStyle w:val="39"/>
              <w:rPr>
                <w:rFonts w:ascii="宋体" w:hAnsi="宋体"/>
                <w:sz w:val="21"/>
                <w:szCs w:val="21"/>
              </w:rPr>
            </w:pPr>
            <w:r>
              <w:rPr>
                <w:rFonts w:ascii="宋体" w:hAnsi="宋体"/>
                <w:sz w:val="21"/>
                <w:szCs w:val="21"/>
              </w:rPr>
              <w:t>0.4851</w:t>
            </w:r>
          </w:p>
        </w:tc>
        <w:tc>
          <w:tcPr>
            <w:tcW w:w="763" w:type="dxa"/>
            <w:noWrap/>
            <w:tcMar>
              <w:left w:w="0" w:type="dxa"/>
              <w:right w:w="0" w:type="dxa"/>
            </w:tcMar>
            <w:vAlign w:val="center"/>
          </w:tcPr>
          <w:p w14:paraId="3E7E7D5D">
            <w:pPr>
              <w:pStyle w:val="39"/>
              <w:rPr>
                <w:rFonts w:ascii="宋体" w:hAnsi="宋体"/>
                <w:sz w:val="21"/>
                <w:szCs w:val="21"/>
              </w:rPr>
            </w:pPr>
            <w:r>
              <w:rPr>
                <w:rFonts w:ascii="宋体" w:hAnsi="宋体"/>
                <w:sz w:val="21"/>
                <w:szCs w:val="21"/>
              </w:rPr>
              <w:t>0.4551</w:t>
            </w:r>
          </w:p>
        </w:tc>
        <w:tc>
          <w:tcPr>
            <w:tcW w:w="763" w:type="dxa"/>
            <w:noWrap/>
            <w:tcMar>
              <w:left w:w="0" w:type="dxa"/>
              <w:right w:w="0" w:type="dxa"/>
            </w:tcMar>
            <w:vAlign w:val="center"/>
          </w:tcPr>
          <w:p w14:paraId="159C2357">
            <w:pPr>
              <w:pStyle w:val="39"/>
              <w:rPr>
                <w:rFonts w:ascii="宋体" w:hAnsi="宋体"/>
                <w:sz w:val="21"/>
                <w:szCs w:val="21"/>
              </w:rPr>
            </w:pPr>
            <w:r>
              <w:rPr>
                <w:rFonts w:ascii="宋体" w:hAnsi="宋体"/>
                <w:sz w:val="21"/>
                <w:szCs w:val="21"/>
              </w:rPr>
              <w:t>0.4283</w:t>
            </w:r>
          </w:p>
        </w:tc>
        <w:tc>
          <w:tcPr>
            <w:tcW w:w="763" w:type="dxa"/>
            <w:noWrap/>
            <w:tcMar>
              <w:left w:w="0" w:type="dxa"/>
              <w:right w:w="0" w:type="dxa"/>
            </w:tcMar>
            <w:vAlign w:val="center"/>
          </w:tcPr>
          <w:p w14:paraId="2204902E">
            <w:pPr>
              <w:pStyle w:val="39"/>
              <w:rPr>
                <w:rFonts w:ascii="宋体" w:hAnsi="宋体"/>
                <w:sz w:val="21"/>
                <w:szCs w:val="21"/>
              </w:rPr>
            </w:pPr>
            <w:r>
              <w:rPr>
                <w:rFonts w:ascii="宋体" w:hAnsi="宋体"/>
                <w:sz w:val="21"/>
                <w:szCs w:val="21"/>
              </w:rPr>
              <w:t>0.4045</w:t>
            </w:r>
          </w:p>
        </w:tc>
        <w:tc>
          <w:tcPr>
            <w:tcW w:w="763" w:type="dxa"/>
            <w:noWrap/>
            <w:tcMar>
              <w:left w:w="0" w:type="dxa"/>
              <w:right w:w="0" w:type="dxa"/>
            </w:tcMar>
            <w:vAlign w:val="center"/>
          </w:tcPr>
          <w:p w14:paraId="241C0ACE">
            <w:pPr>
              <w:pStyle w:val="39"/>
              <w:rPr>
                <w:rFonts w:ascii="宋体" w:hAnsi="宋体"/>
                <w:sz w:val="21"/>
                <w:szCs w:val="21"/>
              </w:rPr>
            </w:pPr>
            <w:r>
              <w:rPr>
                <w:rFonts w:ascii="宋体" w:hAnsi="宋体"/>
                <w:sz w:val="21"/>
                <w:szCs w:val="21"/>
              </w:rPr>
              <w:t>0.3829</w:t>
            </w:r>
          </w:p>
        </w:tc>
        <w:tc>
          <w:tcPr>
            <w:tcW w:w="763" w:type="dxa"/>
            <w:noWrap/>
            <w:tcMar>
              <w:left w:w="0" w:type="dxa"/>
              <w:right w:w="0" w:type="dxa"/>
            </w:tcMar>
            <w:vAlign w:val="center"/>
          </w:tcPr>
          <w:p w14:paraId="62D74F5C">
            <w:pPr>
              <w:pStyle w:val="39"/>
              <w:rPr>
                <w:rFonts w:ascii="宋体" w:hAnsi="宋体"/>
                <w:sz w:val="21"/>
                <w:szCs w:val="21"/>
              </w:rPr>
            </w:pPr>
            <w:r>
              <w:rPr>
                <w:rFonts w:ascii="宋体" w:hAnsi="宋体"/>
                <w:sz w:val="21"/>
                <w:szCs w:val="21"/>
              </w:rPr>
              <w:t>0.3633</w:t>
            </w:r>
          </w:p>
        </w:tc>
        <w:tc>
          <w:tcPr>
            <w:tcW w:w="763" w:type="dxa"/>
            <w:noWrap/>
            <w:tcMar>
              <w:left w:w="0" w:type="dxa"/>
              <w:right w:w="0" w:type="dxa"/>
            </w:tcMar>
            <w:vAlign w:val="center"/>
          </w:tcPr>
          <w:p w14:paraId="790C640B">
            <w:pPr>
              <w:pStyle w:val="39"/>
              <w:rPr>
                <w:rFonts w:ascii="宋体" w:hAnsi="宋体"/>
                <w:sz w:val="21"/>
                <w:szCs w:val="21"/>
              </w:rPr>
            </w:pPr>
            <w:r>
              <w:rPr>
                <w:rFonts w:ascii="宋体" w:hAnsi="宋体"/>
                <w:sz w:val="21"/>
                <w:szCs w:val="21"/>
              </w:rPr>
              <w:t>0.3455</w:t>
            </w:r>
          </w:p>
        </w:tc>
        <w:tc>
          <w:tcPr>
            <w:tcW w:w="763" w:type="dxa"/>
            <w:noWrap/>
            <w:tcMar>
              <w:left w:w="0" w:type="dxa"/>
              <w:right w:w="0" w:type="dxa"/>
            </w:tcMar>
            <w:vAlign w:val="center"/>
          </w:tcPr>
          <w:p w14:paraId="6B670237">
            <w:pPr>
              <w:pStyle w:val="39"/>
              <w:rPr>
                <w:rFonts w:ascii="宋体" w:hAnsi="宋体"/>
                <w:sz w:val="21"/>
                <w:szCs w:val="21"/>
              </w:rPr>
            </w:pPr>
            <w:r>
              <w:rPr>
                <w:rFonts w:ascii="宋体" w:hAnsi="宋体"/>
                <w:sz w:val="21"/>
                <w:szCs w:val="21"/>
              </w:rPr>
              <w:t>0.3294</w:t>
            </w:r>
          </w:p>
        </w:tc>
      </w:tr>
      <w:tr w14:paraId="269BD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64" w:type="dxa"/>
            <w:noWrap/>
            <w:tcMar>
              <w:left w:w="0" w:type="dxa"/>
              <w:right w:w="0" w:type="dxa"/>
            </w:tcMar>
            <w:vAlign w:val="center"/>
          </w:tcPr>
          <w:p w14:paraId="72E7A808">
            <w:pPr>
              <w:pStyle w:val="39"/>
              <w:rPr>
                <w:rFonts w:ascii="宋体" w:hAnsi="宋体"/>
                <w:sz w:val="21"/>
                <w:szCs w:val="21"/>
              </w:rPr>
            </w:pPr>
            <w:r>
              <w:rPr>
                <w:rFonts w:ascii="宋体" w:hAnsi="宋体"/>
                <w:sz w:val="21"/>
                <w:szCs w:val="21"/>
              </w:rPr>
              <w:t>0.25</w:t>
            </w:r>
          </w:p>
        </w:tc>
        <w:tc>
          <w:tcPr>
            <w:tcW w:w="764" w:type="dxa"/>
            <w:noWrap/>
            <w:tcMar>
              <w:left w:w="0" w:type="dxa"/>
              <w:right w:w="0" w:type="dxa"/>
            </w:tcMar>
            <w:vAlign w:val="center"/>
          </w:tcPr>
          <w:p w14:paraId="3C262FF2">
            <w:pPr>
              <w:pStyle w:val="39"/>
              <w:rPr>
                <w:rFonts w:ascii="宋体" w:hAnsi="宋体"/>
                <w:sz w:val="21"/>
                <w:szCs w:val="21"/>
              </w:rPr>
            </w:pPr>
            <w:r>
              <w:rPr>
                <w:rFonts w:ascii="宋体" w:hAnsi="宋体"/>
                <w:sz w:val="21"/>
                <w:szCs w:val="21"/>
              </w:rPr>
              <w:t>0.7331</w:t>
            </w:r>
          </w:p>
        </w:tc>
        <w:tc>
          <w:tcPr>
            <w:tcW w:w="764" w:type="dxa"/>
            <w:noWrap/>
            <w:tcMar>
              <w:left w:w="0" w:type="dxa"/>
              <w:right w:w="0" w:type="dxa"/>
            </w:tcMar>
            <w:vAlign w:val="center"/>
          </w:tcPr>
          <w:p w14:paraId="200A2644">
            <w:pPr>
              <w:pStyle w:val="39"/>
              <w:rPr>
                <w:rFonts w:ascii="宋体" w:hAnsi="宋体"/>
                <w:sz w:val="21"/>
                <w:szCs w:val="21"/>
              </w:rPr>
            </w:pPr>
            <w:r>
              <w:rPr>
                <w:rFonts w:ascii="宋体" w:hAnsi="宋体"/>
                <w:sz w:val="21"/>
                <w:szCs w:val="21"/>
              </w:rPr>
              <w:t>0.6796</w:t>
            </w:r>
          </w:p>
        </w:tc>
        <w:tc>
          <w:tcPr>
            <w:tcW w:w="764" w:type="dxa"/>
            <w:noWrap/>
            <w:tcMar>
              <w:left w:w="0" w:type="dxa"/>
              <w:right w:w="0" w:type="dxa"/>
            </w:tcMar>
            <w:vAlign w:val="center"/>
          </w:tcPr>
          <w:p w14:paraId="406ABFE4">
            <w:pPr>
              <w:pStyle w:val="39"/>
              <w:rPr>
                <w:rFonts w:ascii="宋体" w:hAnsi="宋体"/>
                <w:sz w:val="21"/>
                <w:szCs w:val="21"/>
              </w:rPr>
            </w:pPr>
            <w:r>
              <w:rPr>
                <w:rFonts w:ascii="宋体" w:hAnsi="宋体"/>
                <w:sz w:val="21"/>
                <w:szCs w:val="21"/>
              </w:rPr>
              <w:t>0.6329</w:t>
            </w:r>
          </w:p>
        </w:tc>
        <w:tc>
          <w:tcPr>
            <w:tcW w:w="763" w:type="dxa"/>
            <w:noWrap/>
            <w:tcMar>
              <w:left w:w="0" w:type="dxa"/>
              <w:right w:w="0" w:type="dxa"/>
            </w:tcMar>
            <w:vAlign w:val="center"/>
          </w:tcPr>
          <w:p w14:paraId="5A5068B7">
            <w:pPr>
              <w:pStyle w:val="39"/>
              <w:rPr>
                <w:rFonts w:ascii="宋体" w:hAnsi="宋体"/>
                <w:sz w:val="21"/>
                <w:szCs w:val="21"/>
              </w:rPr>
            </w:pPr>
            <w:r>
              <w:rPr>
                <w:rFonts w:ascii="宋体" w:hAnsi="宋体"/>
                <w:sz w:val="21"/>
                <w:szCs w:val="21"/>
              </w:rPr>
              <w:t>0.5919</w:t>
            </w:r>
          </w:p>
        </w:tc>
        <w:tc>
          <w:tcPr>
            <w:tcW w:w="763" w:type="dxa"/>
            <w:noWrap/>
            <w:tcMar>
              <w:left w:w="0" w:type="dxa"/>
              <w:right w:w="0" w:type="dxa"/>
            </w:tcMar>
            <w:vAlign w:val="center"/>
          </w:tcPr>
          <w:p w14:paraId="59CE1AFB">
            <w:pPr>
              <w:pStyle w:val="39"/>
              <w:rPr>
                <w:rFonts w:ascii="宋体" w:hAnsi="宋体"/>
                <w:sz w:val="21"/>
                <w:szCs w:val="21"/>
              </w:rPr>
            </w:pPr>
            <w:r>
              <w:rPr>
                <w:rFonts w:ascii="宋体" w:hAnsi="宋体"/>
                <w:sz w:val="21"/>
                <w:szCs w:val="21"/>
              </w:rPr>
              <w:t>0.5555</w:t>
            </w:r>
          </w:p>
        </w:tc>
        <w:tc>
          <w:tcPr>
            <w:tcW w:w="763" w:type="dxa"/>
            <w:noWrap/>
            <w:tcMar>
              <w:left w:w="0" w:type="dxa"/>
              <w:right w:w="0" w:type="dxa"/>
            </w:tcMar>
            <w:vAlign w:val="center"/>
          </w:tcPr>
          <w:p w14:paraId="52EDFB9B">
            <w:pPr>
              <w:pStyle w:val="39"/>
              <w:rPr>
                <w:rFonts w:ascii="宋体" w:hAnsi="宋体"/>
                <w:sz w:val="21"/>
                <w:szCs w:val="21"/>
              </w:rPr>
            </w:pPr>
            <w:r>
              <w:rPr>
                <w:rFonts w:ascii="宋体" w:hAnsi="宋体"/>
                <w:sz w:val="21"/>
                <w:szCs w:val="21"/>
              </w:rPr>
              <w:t>0.5229</w:t>
            </w:r>
          </w:p>
        </w:tc>
        <w:tc>
          <w:tcPr>
            <w:tcW w:w="763" w:type="dxa"/>
            <w:noWrap/>
            <w:tcMar>
              <w:left w:w="0" w:type="dxa"/>
              <w:right w:w="0" w:type="dxa"/>
            </w:tcMar>
            <w:vAlign w:val="center"/>
          </w:tcPr>
          <w:p w14:paraId="0EDA3CC8">
            <w:pPr>
              <w:pStyle w:val="39"/>
              <w:rPr>
                <w:rFonts w:ascii="宋体" w:hAnsi="宋体"/>
                <w:sz w:val="21"/>
                <w:szCs w:val="21"/>
              </w:rPr>
            </w:pPr>
            <w:r>
              <w:rPr>
                <w:rFonts w:ascii="宋体" w:hAnsi="宋体"/>
                <w:sz w:val="21"/>
                <w:szCs w:val="21"/>
              </w:rPr>
              <w:t>0.4938</w:t>
            </w:r>
          </w:p>
        </w:tc>
        <w:tc>
          <w:tcPr>
            <w:tcW w:w="763" w:type="dxa"/>
            <w:noWrap/>
            <w:tcMar>
              <w:left w:w="0" w:type="dxa"/>
              <w:right w:w="0" w:type="dxa"/>
            </w:tcMar>
            <w:vAlign w:val="center"/>
          </w:tcPr>
          <w:p w14:paraId="655A8578">
            <w:pPr>
              <w:pStyle w:val="39"/>
              <w:rPr>
                <w:rFonts w:ascii="宋体" w:hAnsi="宋体"/>
                <w:sz w:val="21"/>
                <w:szCs w:val="21"/>
              </w:rPr>
            </w:pPr>
            <w:r>
              <w:rPr>
                <w:rFonts w:ascii="宋体" w:hAnsi="宋体"/>
                <w:sz w:val="21"/>
                <w:szCs w:val="21"/>
              </w:rPr>
              <w:t>0.4676</w:t>
            </w:r>
          </w:p>
        </w:tc>
        <w:tc>
          <w:tcPr>
            <w:tcW w:w="763" w:type="dxa"/>
            <w:noWrap/>
            <w:tcMar>
              <w:left w:w="0" w:type="dxa"/>
              <w:right w:w="0" w:type="dxa"/>
            </w:tcMar>
            <w:vAlign w:val="center"/>
          </w:tcPr>
          <w:p w14:paraId="5CBF2B01">
            <w:pPr>
              <w:pStyle w:val="39"/>
              <w:rPr>
                <w:rFonts w:ascii="宋体" w:hAnsi="宋体"/>
                <w:sz w:val="21"/>
                <w:szCs w:val="21"/>
              </w:rPr>
            </w:pPr>
            <w:r>
              <w:rPr>
                <w:rFonts w:ascii="宋体" w:hAnsi="宋体"/>
                <w:sz w:val="21"/>
                <w:szCs w:val="21"/>
              </w:rPr>
              <w:t>0.4438</w:t>
            </w:r>
          </w:p>
        </w:tc>
        <w:tc>
          <w:tcPr>
            <w:tcW w:w="763" w:type="dxa"/>
            <w:noWrap/>
            <w:tcMar>
              <w:left w:w="0" w:type="dxa"/>
              <w:right w:w="0" w:type="dxa"/>
            </w:tcMar>
            <w:vAlign w:val="center"/>
          </w:tcPr>
          <w:p w14:paraId="2CE19A1C">
            <w:pPr>
              <w:pStyle w:val="39"/>
              <w:rPr>
                <w:rFonts w:ascii="宋体" w:hAnsi="宋体"/>
                <w:sz w:val="21"/>
                <w:szCs w:val="21"/>
              </w:rPr>
            </w:pPr>
            <w:r>
              <w:rPr>
                <w:rFonts w:ascii="宋体" w:hAnsi="宋体"/>
                <w:sz w:val="21"/>
                <w:szCs w:val="21"/>
              </w:rPr>
              <w:t>0.4223</w:t>
            </w:r>
          </w:p>
        </w:tc>
        <w:tc>
          <w:tcPr>
            <w:tcW w:w="763" w:type="dxa"/>
            <w:noWrap/>
            <w:tcMar>
              <w:left w:w="0" w:type="dxa"/>
              <w:right w:w="0" w:type="dxa"/>
            </w:tcMar>
            <w:vAlign w:val="center"/>
          </w:tcPr>
          <w:p w14:paraId="65E1E85B">
            <w:pPr>
              <w:pStyle w:val="39"/>
              <w:rPr>
                <w:rFonts w:ascii="宋体" w:hAnsi="宋体"/>
                <w:sz w:val="21"/>
                <w:szCs w:val="21"/>
              </w:rPr>
            </w:pPr>
            <w:r>
              <w:rPr>
                <w:rFonts w:ascii="宋体" w:hAnsi="宋体"/>
                <w:sz w:val="21"/>
                <w:szCs w:val="21"/>
              </w:rPr>
              <w:t>0.4027</w:t>
            </w:r>
          </w:p>
        </w:tc>
      </w:tr>
      <w:tr w14:paraId="46B49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64" w:type="dxa"/>
            <w:noWrap/>
            <w:tcMar>
              <w:left w:w="0" w:type="dxa"/>
              <w:right w:w="0" w:type="dxa"/>
            </w:tcMar>
            <w:vAlign w:val="center"/>
          </w:tcPr>
          <w:p w14:paraId="428CA9D4">
            <w:pPr>
              <w:pStyle w:val="39"/>
              <w:rPr>
                <w:rFonts w:ascii="宋体" w:hAnsi="宋体"/>
                <w:sz w:val="21"/>
                <w:szCs w:val="21"/>
              </w:rPr>
            </w:pPr>
            <w:r>
              <w:rPr>
                <w:rFonts w:ascii="宋体" w:hAnsi="宋体"/>
                <w:sz w:val="21"/>
                <w:szCs w:val="21"/>
              </w:rPr>
              <w:t>0.30</w:t>
            </w:r>
          </w:p>
        </w:tc>
        <w:tc>
          <w:tcPr>
            <w:tcW w:w="764" w:type="dxa"/>
            <w:noWrap/>
            <w:tcMar>
              <w:left w:w="0" w:type="dxa"/>
              <w:right w:w="0" w:type="dxa"/>
            </w:tcMar>
            <w:vAlign w:val="center"/>
          </w:tcPr>
          <w:p w14:paraId="295BFF10">
            <w:pPr>
              <w:pStyle w:val="39"/>
              <w:rPr>
                <w:rFonts w:ascii="宋体" w:hAnsi="宋体"/>
                <w:sz w:val="21"/>
                <w:szCs w:val="21"/>
              </w:rPr>
            </w:pPr>
            <w:r>
              <w:rPr>
                <w:rFonts w:ascii="宋体" w:hAnsi="宋体"/>
                <w:sz w:val="21"/>
                <w:szCs w:val="21"/>
              </w:rPr>
              <w:t>0.8530</w:t>
            </w:r>
          </w:p>
        </w:tc>
        <w:tc>
          <w:tcPr>
            <w:tcW w:w="764" w:type="dxa"/>
            <w:noWrap/>
            <w:tcMar>
              <w:left w:w="0" w:type="dxa"/>
              <w:right w:w="0" w:type="dxa"/>
            </w:tcMar>
            <w:vAlign w:val="center"/>
          </w:tcPr>
          <w:p w14:paraId="4954C282">
            <w:pPr>
              <w:pStyle w:val="39"/>
              <w:rPr>
                <w:rFonts w:ascii="宋体" w:hAnsi="宋体"/>
                <w:sz w:val="21"/>
                <w:szCs w:val="21"/>
              </w:rPr>
            </w:pPr>
            <w:r>
              <w:rPr>
                <w:rFonts w:ascii="宋体" w:hAnsi="宋体"/>
                <w:sz w:val="21"/>
                <w:szCs w:val="21"/>
              </w:rPr>
              <w:t>0.7913</w:t>
            </w:r>
          </w:p>
        </w:tc>
        <w:tc>
          <w:tcPr>
            <w:tcW w:w="764" w:type="dxa"/>
            <w:noWrap/>
            <w:tcMar>
              <w:left w:w="0" w:type="dxa"/>
              <w:right w:w="0" w:type="dxa"/>
            </w:tcMar>
            <w:vAlign w:val="center"/>
          </w:tcPr>
          <w:p w14:paraId="53B6C9D2">
            <w:pPr>
              <w:pStyle w:val="39"/>
              <w:rPr>
                <w:rFonts w:ascii="宋体" w:hAnsi="宋体"/>
                <w:sz w:val="21"/>
                <w:szCs w:val="21"/>
              </w:rPr>
            </w:pPr>
            <w:r>
              <w:rPr>
                <w:rFonts w:ascii="宋体" w:hAnsi="宋体"/>
                <w:sz w:val="21"/>
                <w:szCs w:val="21"/>
              </w:rPr>
              <w:t>0.7373</w:t>
            </w:r>
          </w:p>
        </w:tc>
        <w:tc>
          <w:tcPr>
            <w:tcW w:w="763" w:type="dxa"/>
            <w:noWrap/>
            <w:tcMar>
              <w:left w:w="0" w:type="dxa"/>
              <w:right w:w="0" w:type="dxa"/>
            </w:tcMar>
            <w:vAlign w:val="center"/>
          </w:tcPr>
          <w:p w14:paraId="266959E7">
            <w:pPr>
              <w:pStyle w:val="39"/>
              <w:rPr>
                <w:rFonts w:ascii="宋体" w:hAnsi="宋体"/>
                <w:sz w:val="21"/>
                <w:szCs w:val="21"/>
              </w:rPr>
            </w:pPr>
            <w:r>
              <w:rPr>
                <w:rFonts w:ascii="宋体" w:hAnsi="宋体"/>
                <w:sz w:val="21"/>
                <w:szCs w:val="21"/>
              </w:rPr>
              <w:t>0.6896</w:t>
            </w:r>
          </w:p>
        </w:tc>
        <w:tc>
          <w:tcPr>
            <w:tcW w:w="763" w:type="dxa"/>
            <w:noWrap/>
            <w:tcMar>
              <w:left w:w="0" w:type="dxa"/>
              <w:right w:w="0" w:type="dxa"/>
            </w:tcMar>
            <w:vAlign w:val="center"/>
          </w:tcPr>
          <w:p w14:paraId="32AAB9E0">
            <w:pPr>
              <w:pStyle w:val="39"/>
              <w:rPr>
                <w:rFonts w:ascii="宋体" w:hAnsi="宋体"/>
                <w:sz w:val="21"/>
                <w:szCs w:val="21"/>
              </w:rPr>
            </w:pPr>
            <w:r>
              <w:rPr>
                <w:rFonts w:ascii="宋体" w:hAnsi="宋体"/>
                <w:sz w:val="21"/>
                <w:szCs w:val="21"/>
              </w:rPr>
              <w:t>0.6474</w:t>
            </w:r>
          </w:p>
        </w:tc>
        <w:tc>
          <w:tcPr>
            <w:tcW w:w="763" w:type="dxa"/>
            <w:noWrap/>
            <w:tcMar>
              <w:left w:w="0" w:type="dxa"/>
              <w:right w:w="0" w:type="dxa"/>
            </w:tcMar>
            <w:vAlign w:val="center"/>
          </w:tcPr>
          <w:p w14:paraId="5AA9A0BD">
            <w:pPr>
              <w:pStyle w:val="39"/>
              <w:rPr>
                <w:rFonts w:ascii="宋体" w:hAnsi="宋体"/>
                <w:sz w:val="21"/>
                <w:szCs w:val="21"/>
              </w:rPr>
            </w:pPr>
            <w:r>
              <w:rPr>
                <w:rFonts w:ascii="宋体" w:hAnsi="宋体"/>
                <w:sz w:val="21"/>
                <w:szCs w:val="21"/>
              </w:rPr>
              <w:t>0.6099</w:t>
            </w:r>
          </w:p>
        </w:tc>
        <w:tc>
          <w:tcPr>
            <w:tcW w:w="763" w:type="dxa"/>
            <w:noWrap/>
            <w:tcMar>
              <w:left w:w="0" w:type="dxa"/>
              <w:right w:w="0" w:type="dxa"/>
            </w:tcMar>
            <w:vAlign w:val="center"/>
          </w:tcPr>
          <w:p w14:paraId="38884EBF">
            <w:pPr>
              <w:pStyle w:val="39"/>
              <w:rPr>
                <w:rFonts w:ascii="宋体" w:hAnsi="宋体"/>
                <w:sz w:val="21"/>
                <w:szCs w:val="21"/>
              </w:rPr>
            </w:pPr>
            <w:r>
              <w:rPr>
                <w:rFonts w:ascii="宋体" w:hAnsi="宋体"/>
                <w:sz w:val="21"/>
                <w:szCs w:val="21"/>
              </w:rPr>
              <w:t>0.5761</w:t>
            </w:r>
          </w:p>
        </w:tc>
        <w:tc>
          <w:tcPr>
            <w:tcW w:w="763" w:type="dxa"/>
            <w:noWrap/>
            <w:tcMar>
              <w:left w:w="0" w:type="dxa"/>
              <w:right w:w="0" w:type="dxa"/>
            </w:tcMar>
            <w:vAlign w:val="center"/>
          </w:tcPr>
          <w:p w14:paraId="6041D84A">
            <w:pPr>
              <w:pStyle w:val="39"/>
              <w:rPr>
                <w:rFonts w:ascii="宋体" w:hAnsi="宋体"/>
                <w:sz w:val="21"/>
                <w:szCs w:val="21"/>
              </w:rPr>
            </w:pPr>
            <w:r>
              <w:rPr>
                <w:rFonts w:ascii="宋体" w:hAnsi="宋体"/>
                <w:sz w:val="21"/>
                <w:szCs w:val="21"/>
              </w:rPr>
              <w:t>0.5457</w:t>
            </w:r>
          </w:p>
        </w:tc>
        <w:tc>
          <w:tcPr>
            <w:tcW w:w="763" w:type="dxa"/>
            <w:noWrap/>
            <w:tcMar>
              <w:left w:w="0" w:type="dxa"/>
              <w:right w:w="0" w:type="dxa"/>
            </w:tcMar>
            <w:vAlign w:val="center"/>
          </w:tcPr>
          <w:p w14:paraId="59138618">
            <w:pPr>
              <w:pStyle w:val="39"/>
              <w:rPr>
                <w:rFonts w:ascii="宋体" w:hAnsi="宋体"/>
                <w:sz w:val="21"/>
                <w:szCs w:val="21"/>
              </w:rPr>
            </w:pPr>
            <w:r>
              <w:rPr>
                <w:rFonts w:ascii="宋体" w:hAnsi="宋体"/>
                <w:sz w:val="21"/>
                <w:szCs w:val="21"/>
              </w:rPr>
              <w:t>0.5183</w:t>
            </w:r>
          </w:p>
        </w:tc>
        <w:tc>
          <w:tcPr>
            <w:tcW w:w="763" w:type="dxa"/>
            <w:noWrap/>
            <w:tcMar>
              <w:left w:w="0" w:type="dxa"/>
              <w:right w:w="0" w:type="dxa"/>
            </w:tcMar>
            <w:vAlign w:val="center"/>
          </w:tcPr>
          <w:p w14:paraId="5D0C202F">
            <w:pPr>
              <w:pStyle w:val="39"/>
              <w:rPr>
                <w:rFonts w:ascii="宋体" w:hAnsi="宋体"/>
                <w:sz w:val="21"/>
                <w:szCs w:val="21"/>
              </w:rPr>
            </w:pPr>
            <w:r>
              <w:rPr>
                <w:rFonts w:ascii="宋体" w:hAnsi="宋体"/>
                <w:sz w:val="21"/>
                <w:szCs w:val="21"/>
              </w:rPr>
              <w:t>0.4933</w:t>
            </w:r>
          </w:p>
        </w:tc>
        <w:tc>
          <w:tcPr>
            <w:tcW w:w="763" w:type="dxa"/>
            <w:noWrap/>
            <w:tcMar>
              <w:left w:w="0" w:type="dxa"/>
              <w:right w:w="0" w:type="dxa"/>
            </w:tcMar>
            <w:vAlign w:val="center"/>
          </w:tcPr>
          <w:p w14:paraId="353B8045">
            <w:pPr>
              <w:pStyle w:val="39"/>
              <w:rPr>
                <w:rFonts w:ascii="宋体" w:hAnsi="宋体"/>
                <w:sz w:val="21"/>
                <w:szCs w:val="21"/>
              </w:rPr>
            </w:pPr>
            <w:r>
              <w:rPr>
                <w:rFonts w:ascii="宋体" w:hAnsi="宋体"/>
                <w:sz w:val="21"/>
                <w:szCs w:val="21"/>
              </w:rPr>
              <w:t>0.4705</w:t>
            </w:r>
          </w:p>
        </w:tc>
      </w:tr>
      <w:tr w14:paraId="6DADC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64" w:type="dxa"/>
            <w:noWrap/>
            <w:tcMar>
              <w:left w:w="0" w:type="dxa"/>
              <w:right w:w="0" w:type="dxa"/>
            </w:tcMar>
            <w:vAlign w:val="center"/>
          </w:tcPr>
          <w:p w14:paraId="1A390562">
            <w:pPr>
              <w:pStyle w:val="39"/>
              <w:rPr>
                <w:rFonts w:ascii="宋体" w:hAnsi="宋体"/>
                <w:sz w:val="21"/>
                <w:szCs w:val="21"/>
              </w:rPr>
            </w:pPr>
            <w:r>
              <w:rPr>
                <w:rFonts w:ascii="宋体" w:hAnsi="宋体"/>
                <w:sz w:val="21"/>
                <w:szCs w:val="21"/>
              </w:rPr>
              <w:t>0.35</w:t>
            </w:r>
          </w:p>
        </w:tc>
        <w:tc>
          <w:tcPr>
            <w:tcW w:w="764" w:type="dxa"/>
            <w:noWrap/>
            <w:tcMar>
              <w:left w:w="0" w:type="dxa"/>
              <w:right w:w="0" w:type="dxa"/>
            </w:tcMar>
            <w:vAlign w:val="center"/>
          </w:tcPr>
          <w:p w14:paraId="1890379A">
            <w:pPr>
              <w:pStyle w:val="39"/>
              <w:rPr>
                <w:rFonts w:ascii="宋体" w:hAnsi="宋体"/>
                <w:sz w:val="21"/>
                <w:szCs w:val="21"/>
              </w:rPr>
            </w:pPr>
            <w:r>
              <w:rPr>
                <w:rFonts w:ascii="宋体" w:hAnsi="宋体"/>
                <w:sz w:val="21"/>
                <w:szCs w:val="21"/>
              </w:rPr>
              <w:t>0.9595</w:t>
            </w:r>
          </w:p>
        </w:tc>
        <w:tc>
          <w:tcPr>
            <w:tcW w:w="764" w:type="dxa"/>
            <w:noWrap/>
            <w:tcMar>
              <w:left w:w="0" w:type="dxa"/>
              <w:right w:w="0" w:type="dxa"/>
            </w:tcMar>
            <w:vAlign w:val="center"/>
          </w:tcPr>
          <w:p w14:paraId="6FB1CEDB">
            <w:pPr>
              <w:pStyle w:val="39"/>
              <w:rPr>
                <w:rFonts w:ascii="宋体" w:hAnsi="宋体"/>
                <w:sz w:val="21"/>
                <w:szCs w:val="21"/>
              </w:rPr>
            </w:pPr>
            <w:r>
              <w:rPr>
                <w:rFonts w:ascii="宋体" w:hAnsi="宋体"/>
                <w:sz w:val="21"/>
                <w:szCs w:val="21"/>
              </w:rPr>
              <w:t>0.8907</w:t>
            </w:r>
          </w:p>
        </w:tc>
        <w:tc>
          <w:tcPr>
            <w:tcW w:w="764" w:type="dxa"/>
            <w:noWrap/>
            <w:tcMar>
              <w:left w:w="0" w:type="dxa"/>
              <w:right w:w="0" w:type="dxa"/>
            </w:tcMar>
            <w:vAlign w:val="center"/>
          </w:tcPr>
          <w:p w14:paraId="1359A571">
            <w:pPr>
              <w:pStyle w:val="39"/>
              <w:rPr>
                <w:rFonts w:ascii="宋体" w:hAnsi="宋体"/>
                <w:sz w:val="21"/>
                <w:szCs w:val="21"/>
              </w:rPr>
            </w:pPr>
            <w:r>
              <w:rPr>
                <w:rFonts w:ascii="宋体" w:hAnsi="宋体"/>
                <w:sz w:val="21"/>
                <w:szCs w:val="21"/>
              </w:rPr>
              <w:t>0.8303</w:t>
            </w:r>
          </w:p>
        </w:tc>
        <w:tc>
          <w:tcPr>
            <w:tcW w:w="763" w:type="dxa"/>
            <w:noWrap/>
            <w:tcMar>
              <w:left w:w="0" w:type="dxa"/>
              <w:right w:w="0" w:type="dxa"/>
            </w:tcMar>
            <w:vAlign w:val="center"/>
          </w:tcPr>
          <w:p w14:paraId="712C9985">
            <w:pPr>
              <w:pStyle w:val="39"/>
              <w:rPr>
                <w:rFonts w:ascii="宋体" w:hAnsi="宋体"/>
                <w:sz w:val="21"/>
                <w:szCs w:val="21"/>
              </w:rPr>
            </w:pPr>
            <w:r>
              <w:rPr>
                <w:rFonts w:ascii="宋体" w:hAnsi="宋体"/>
                <w:sz w:val="21"/>
                <w:szCs w:val="21"/>
              </w:rPr>
              <w:t>0.7771</w:t>
            </w:r>
          </w:p>
        </w:tc>
        <w:tc>
          <w:tcPr>
            <w:tcW w:w="763" w:type="dxa"/>
            <w:noWrap/>
            <w:tcMar>
              <w:left w:w="0" w:type="dxa"/>
              <w:right w:w="0" w:type="dxa"/>
            </w:tcMar>
            <w:vAlign w:val="center"/>
          </w:tcPr>
          <w:p w14:paraId="570A695E">
            <w:pPr>
              <w:pStyle w:val="39"/>
              <w:rPr>
                <w:rFonts w:ascii="宋体" w:hAnsi="宋体"/>
                <w:sz w:val="21"/>
                <w:szCs w:val="21"/>
              </w:rPr>
            </w:pPr>
            <w:r>
              <w:rPr>
                <w:rFonts w:ascii="宋体" w:hAnsi="宋体"/>
                <w:sz w:val="21"/>
                <w:szCs w:val="21"/>
              </w:rPr>
              <w:t>0.7301</w:t>
            </w:r>
          </w:p>
        </w:tc>
        <w:tc>
          <w:tcPr>
            <w:tcW w:w="763" w:type="dxa"/>
            <w:noWrap/>
            <w:tcMar>
              <w:left w:w="0" w:type="dxa"/>
              <w:right w:w="0" w:type="dxa"/>
            </w:tcMar>
            <w:vAlign w:val="center"/>
          </w:tcPr>
          <w:p w14:paraId="45792446">
            <w:pPr>
              <w:pStyle w:val="39"/>
              <w:rPr>
                <w:rFonts w:ascii="宋体" w:hAnsi="宋体"/>
                <w:sz w:val="21"/>
                <w:szCs w:val="21"/>
              </w:rPr>
            </w:pPr>
            <w:r>
              <w:rPr>
                <w:rFonts w:ascii="宋体" w:hAnsi="宋体"/>
                <w:sz w:val="21"/>
                <w:szCs w:val="21"/>
              </w:rPr>
              <w:t>0.6881</w:t>
            </w:r>
          </w:p>
        </w:tc>
        <w:tc>
          <w:tcPr>
            <w:tcW w:w="763" w:type="dxa"/>
            <w:noWrap/>
            <w:tcMar>
              <w:left w:w="0" w:type="dxa"/>
              <w:right w:w="0" w:type="dxa"/>
            </w:tcMar>
            <w:vAlign w:val="center"/>
          </w:tcPr>
          <w:p w14:paraId="53716533">
            <w:pPr>
              <w:pStyle w:val="39"/>
              <w:rPr>
                <w:rFonts w:ascii="宋体" w:hAnsi="宋体"/>
                <w:sz w:val="21"/>
                <w:szCs w:val="21"/>
              </w:rPr>
            </w:pPr>
            <w:r>
              <w:rPr>
                <w:rFonts w:ascii="宋体" w:hAnsi="宋体"/>
                <w:sz w:val="21"/>
                <w:szCs w:val="21"/>
              </w:rPr>
              <w:t>0.6504</w:t>
            </w:r>
          </w:p>
        </w:tc>
        <w:tc>
          <w:tcPr>
            <w:tcW w:w="763" w:type="dxa"/>
            <w:noWrap/>
            <w:tcMar>
              <w:left w:w="0" w:type="dxa"/>
              <w:right w:w="0" w:type="dxa"/>
            </w:tcMar>
            <w:vAlign w:val="center"/>
          </w:tcPr>
          <w:p w14:paraId="40443237">
            <w:pPr>
              <w:pStyle w:val="39"/>
              <w:rPr>
                <w:rFonts w:ascii="宋体" w:hAnsi="宋体"/>
                <w:sz w:val="21"/>
                <w:szCs w:val="21"/>
              </w:rPr>
            </w:pPr>
            <w:r>
              <w:rPr>
                <w:rFonts w:ascii="宋体" w:hAnsi="宋体"/>
                <w:sz w:val="21"/>
                <w:szCs w:val="21"/>
              </w:rPr>
              <w:t>0.6165</w:t>
            </w:r>
          </w:p>
        </w:tc>
        <w:tc>
          <w:tcPr>
            <w:tcW w:w="763" w:type="dxa"/>
            <w:noWrap/>
            <w:tcMar>
              <w:left w:w="0" w:type="dxa"/>
              <w:right w:w="0" w:type="dxa"/>
            </w:tcMar>
            <w:vAlign w:val="center"/>
          </w:tcPr>
          <w:p w14:paraId="134735E9">
            <w:pPr>
              <w:pStyle w:val="39"/>
              <w:rPr>
                <w:rFonts w:ascii="宋体" w:hAnsi="宋体"/>
                <w:sz w:val="21"/>
                <w:szCs w:val="21"/>
              </w:rPr>
            </w:pPr>
            <w:r>
              <w:rPr>
                <w:rFonts w:ascii="宋体" w:hAnsi="宋体"/>
                <w:sz w:val="21"/>
                <w:szCs w:val="21"/>
              </w:rPr>
              <w:t>0.5859</w:t>
            </w:r>
          </w:p>
        </w:tc>
        <w:tc>
          <w:tcPr>
            <w:tcW w:w="763" w:type="dxa"/>
            <w:noWrap/>
            <w:tcMar>
              <w:left w:w="0" w:type="dxa"/>
              <w:right w:w="0" w:type="dxa"/>
            </w:tcMar>
            <w:vAlign w:val="center"/>
          </w:tcPr>
          <w:p w14:paraId="2DEBDB86">
            <w:pPr>
              <w:pStyle w:val="39"/>
              <w:rPr>
                <w:rFonts w:ascii="宋体" w:hAnsi="宋体"/>
                <w:sz w:val="21"/>
                <w:szCs w:val="21"/>
              </w:rPr>
            </w:pPr>
            <w:r>
              <w:rPr>
                <w:rFonts w:ascii="宋体" w:hAnsi="宋体"/>
                <w:sz w:val="21"/>
                <w:szCs w:val="21"/>
              </w:rPr>
              <w:t>0.5580</w:t>
            </w:r>
          </w:p>
        </w:tc>
        <w:tc>
          <w:tcPr>
            <w:tcW w:w="763" w:type="dxa"/>
            <w:noWrap/>
            <w:tcMar>
              <w:left w:w="0" w:type="dxa"/>
              <w:right w:w="0" w:type="dxa"/>
            </w:tcMar>
            <w:vAlign w:val="center"/>
          </w:tcPr>
          <w:p w14:paraId="4C518024">
            <w:pPr>
              <w:pStyle w:val="39"/>
              <w:rPr>
                <w:rFonts w:ascii="宋体" w:hAnsi="宋体"/>
                <w:sz w:val="21"/>
                <w:szCs w:val="21"/>
              </w:rPr>
            </w:pPr>
            <w:r>
              <w:rPr>
                <w:rFonts w:ascii="宋体" w:hAnsi="宋体"/>
                <w:sz w:val="21"/>
                <w:szCs w:val="21"/>
              </w:rPr>
              <w:t>0.5325</w:t>
            </w:r>
          </w:p>
        </w:tc>
      </w:tr>
      <w:tr w14:paraId="6A503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64" w:type="dxa"/>
            <w:noWrap/>
            <w:tcMar>
              <w:left w:w="0" w:type="dxa"/>
              <w:right w:w="0" w:type="dxa"/>
            </w:tcMar>
            <w:vAlign w:val="center"/>
          </w:tcPr>
          <w:p w14:paraId="3E56C579">
            <w:pPr>
              <w:pStyle w:val="39"/>
              <w:rPr>
                <w:rFonts w:ascii="宋体" w:hAnsi="宋体"/>
                <w:sz w:val="21"/>
                <w:szCs w:val="21"/>
              </w:rPr>
            </w:pPr>
            <w:r>
              <w:rPr>
                <w:rFonts w:ascii="宋体" w:hAnsi="宋体"/>
                <w:sz w:val="21"/>
                <w:szCs w:val="21"/>
              </w:rPr>
              <w:t>0.40</w:t>
            </w:r>
          </w:p>
        </w:tc>
        <w:tc>
          <w:tcPr>
            <w:tcW w:w="764" w:type="dxa"/>
            <w:noWrap/>
            <w:tcMar>
              <w:left w:w="0" w:type="dxa"/>
              <w:right w:w="0" w:type="dxa"/>
            </w:tcMar>
            <w:vAlign w:val="center"/>
          </w:tcPr>
          <w:p w14:paraId="21E28E4C">
            <w:pPr>
              <w:pStyle w:val="39"/>
              <w:rPr>
                <w:rFonts w:ascii="宋体" w:hAnsi="宋体"/>
                <w:sz w:val="21"/>
                <w:szCs w:val="21"/>
              </w:rPr>
            </w:pPr>
            <w:r>
              <w:rPr>
                <w:rFonts w:ascii="宋体" w:hAnsi="宋体"/>
                <w:sz w:val="21"/>
                <w:szCs w:val="21"/>
              </w:rPr>
              <w:t>1.0512</w:t>
            </w:r>
          </w:p>
        </w:tc>
        <w:tc>
          <w:tcPr>
            <w:tcW w:w="764" w:type="dxa"/>
            <w:noWrap/>
            <w:tcMar>
              <w:left w:w="0" w:type="dxa"/>
              <w:right w:w="0" w:type="dxa"/>
            </w:tcMar>
            <w:vAlign w:val="center"/>
          </w:tcPr>
          <w:p w14:paraId="0B79BD33">
            <w:pPr>
              <w:pStyle w:val="39"/>
              <w:rPr>
                <w:rFonts w:ascii="宋体" w:hAnsi="宋体"/>
                <w:sz w:val="21"/>
                <w:szCs w:val="21"/>
              </w:rPr>
            </w:pPr>
            <w:r>
              <w:rPr>
                <w:rFonts w:ascii="宋体" w:hAnsi="宋体"/>
                <w:sz w:val="21"/>
                <w:szCs w:val="21"/>
              </w:rPr>
              <w:t>0.9765</w:t>
            </w:r>
          </w:p>
        </w:tc>
        <w:tc>
          <w:tcPr>
            <w:tcW w:w="764" w:type="dxa"/>
            <w:noWrap/>
            <w:tcMar>
              <w:left w:w="0" w:type="dxa"/>
              <w:right w:w="0" w:type="dxa"/>
            </w:tcMar>
            <w:vAlign w:val="center"/>
          </w:tcPr>
          <w:p w14:paraId="585BFADC">
            <w:pPr>
              <w:pStyle w:val="39"/>
              <w:rPr>
                <w:rFonts w:ascii="宋体" w:hAnsi="宋体"/>
                <w:sz w:val="21"/>
                <w:szCs w:val="21"/>
              </w:rPr>
            </w:pPr>
            <w:r>
              <w:rPr>
                <w:rFonts w:ascii="宋体" w:hAnsi="宋体"/>
                <w:sz w:val="21"/>
                <w:szCs w:val="21"/>
              </w:rPr>
              <w:t>0.9111</w:t>
            </w:r>
          </w:p>
        </w:tc>
        <w:tc>
          <w:tcPr>
            <w:tcW w:w="763" w:type="dxa"/>
            <w:noWrap/>
            <w:tcMar>
              <w:left w:w="0" w:type="dxa"/>
              <w:right w:w="0" w:type="dxa"/>
            </w:tcMar>
            <w:vAlign w:val="center"/>
          </w:tcPr>
          <w:p w14:paraId="5BB39FA3">
            <w:pPr>
              <w:pStyle w:val="39"/>
              <w:rPr>
                <w:rFonts w:ascii="宋体" w:hAnsi="宋体"/>
                <w:sz w:val="21"/>
                <w:szCs w:val="21"/>
              </w:rPr>
            </w:pPr>
            <w:r>
              <w:rPr>
                <w:rFonts w:ascii="宋体" w:hAnsi="宋体"/>
                <w:sz w:val="21"/>
                <w:szCs w:val="21"/>
              </w:rPr>
              <w:t>0.8535</w:t>
            </w:r>
          </w:p>
        </w:tc>
        <w:tc>
          <w:tcPr>
            <w:tcW w:w="763" w:type="dxa"/>
            <w:noWrap/>
            <w:tcMar>
              <w:left w:w="0" w:type="dxa"/>
              <w:right w:w="0" w:type="dxa"/>
            </w:tcMar>
            <w:vAlign w:val="center"/>
          </w:tcPr>
          <w:p w14:paraId="150028A1">
            <w:pPr>
              <w:pStyle w:val="39"/>
              <w:rPr>
                <w:rFonts w:ascii="宋体" w:hAnsi="宋体"/>
                <w:sz w:val="21"/>
                <w:szCs w:val="21"/>
              </w:rPr>
            </w:pPr>
            <w:r>
              <w:rPr>
                <w:rFonts w:ascii="宋体" w:hAnsi="宋体"/>
                <w:sz w:val="21"/>
                <w:szCs w:val="21"/>
              </w:rPr>
              <w:t>0.8024</w:t>
            </w:r>
          </w:p>
        </w:tc>
        <w:tc>
          <w:tcPr>
            <w:tcW w:w="763" w:type="dxa"/>
            <w:noWrap/>
            <w:tcMar>
              <w:left w:w="0" w:type="dxa"/>
              <w:right w:w="0" w:type="dxa"/>
            </w:tcMar>
            <w:vAlign w:val="center"/>
          </w:tcPr>
          <w:p w14:paraId="422357FE">
            <w:pPr>
              <w:pStyle w:val="39"/>
              <w:rPr>
                <w:rFonts w:ascii="宋体" w:hAnsi="宋体"/>
                <w:sz w:val="21"/>
                <w:szCs w:val="21"/>
              </w:rPr>
            </w:pPr>
            <w:r>
              <w:rPr>
                <w:rFonts w:ascii="宋体" w:hAnsi="宋体"/>
                <w:sz w:val="21"/>
                <w:szCs w:val="21"/>
              </w:rPr>
              <w:t>0.7570</w:t>
            </w:r>
          </w:p>
        </w:tc>
        <w:tc>
          <w:tcPr>
            <w:tcW w:w="763" w:type="dxa"/>
            <w:noWrap/>
            <w:tcMar>
              <w:left w:w="0" w:type="dxa"/>
              <w:right w:w="0" w:type="dxa"/>
            </w:tcMar>
            <w:vAlign w:val="center"/>
          </w:tcPr>
          <w:p w14:paraId="60F38B41">
            <w:pPr>
              <w:pStyle w:val="39"/>
              <w:rPr>
                <w:rFonts w:ascii="宋体" w:hAnsi="宋体"/>
                <w:sz w:val="21"/>
                <w:szCs w:val="21"/>
              </w:rPr>
            </w:pPr>
            <w:r>
              <w:rPr>
                <w:rFonts w:ascii="宋体" w:hAnsi="宋体"/>
                <w:sz w:val="21"/>
                <w:szCs w:val="21"/>
              </w:rPr>
              <w:t>0.7162</w:t>
            </w:r>
          </w:p>
        </w:tc>
        <w:tc>
          <w:tcPr>
            <w:tcW w:w="763" w:type="dxa"/>
            <w:noWrap/>
            <w:tcMar>
              <w:left w:w="0" w:type="dxa"/>
              <w:right w:w="0" w:type="dxa"/>
            </w:tcMar>
            <w:vAlign w:val="center"/>
          </w:tcPr>
          <w:p w14:paraId="7A323099">
            <w:pPr>
              <w:pStyle w:val="39"/>
              <w:rPr>
                <w:rFonts w:ascii="宋体" w:hAnsi="宋体"/>
                <w:sz w:val="21"/>
                <w:szCs w:val="21"/>
              </w:rPr>
            </w:pPr>
            <w:r>
              <w:rPr>
                <w:rFonts w:ascii="宋体" w:hAnsi="宋体"/>
                <w:sz w:val="21"/>
                <w:szCs w:val="21"/>
              </w:rPr>
              <w:t>0.6794</w:t>
            </w:r>
          </w:p>
        </w:tc>
        <w:tc>
          <w:tcPr>
            <w:tcW w:w="763" w:type="dxa"/>
            <w:noWrap/>
            <w:tcMar>
              <w:left w:w="0" w:type="dxa"/>
              <w:right w:w="0" w:type="dxa"/>
            </w:tcMar>
            <w:vAlign w:val="center"/>
          </w:tcPr>
          <w:p w14:paraId="727F64AD">
            <w:pPr>
              <w:pStyle w:val="39"/>
              <w:rPr>
                <w:rFonts w:ascii="宋体" w:hAnsi="宋体"/>
                <w:sz w:val="21"/>
                <w:szCs w:val="21"/>
              </w:rPr>
            </w:pPr>
            <w:r>
              <w:rPr>
                <w:rFonts w:ascii="宋体" w:hAnsi="宋体"/>
                <w:sz w:val="21"/>
                <w:szCs w:val="21"/>
              </w:rPr>
              <w:t>0.6461</w:t>
            </w:r>
          </w:p>
        </w:tc>
        <w:tc>
          <w:tcPr>
            <w:tcW w:w="763" w:type="dxa"/>
            <w:noWrap/>
            <w:tcMar>
              <w:left w:w="0" w:type="dxa"/>
              <w:right w:w="0" w:type="dxa"/>
            </w:tcMar>
            <w:vAlign w:val="center"/>
          </w:tcPr>
          <w:p w14:paraId="1C462DDF">
            <w:pPr>
              <w:pStyle w:val="39"/>
              <w:rPr>
                <w:rFonts w:ascii="宋体" w:hAnsi="宋体"/>
                <w:sz w:val="21"/>
                <w:szCs w:val="21"/>
              </w:rPr>
            </w:pPr>
            <w:r>
              <w:rPr>
                <w:rFonts w:ascii="宋体" w:hAnsi="宋体"/>
                <w:sz w:val="21"/>
                <w:szCs w:val="21"/>
              </w:rPr>
              <w:t>0.6158</w:t>
            </w:r>
          </w:p>
        </w:tc>
        <w:tc>
          <w:tcPr>
            <w:tcW w:w="763" w:type="dxa"/>
            <w:noWrap/>
            <w:tcMar>
              <w:left w:w="0" w:type="dxa"/>
              <w:right w:w="0" w:type="dxa"/>
            </w:tcMar>
            <w:vAlign w:val="center"/>
          </w:tcPr>
          <w:p w14:paraId="4B5A8294">
            <w:pPr>
              <w:pStyle w:val="39"/>
              <w:rPr>
                <w:rFonts w:ascii="宋体" w:hAnsi="宋体"/>
                <w:sz w:val="21"/>
                <w:szCs w:val="21"/>
              </w:rPr>
            </w:pPr>
            <w:r>
              <w:rPr>
                <w:rFonts w:ascii="宋体" w:hAnsi="宋体"/>
                <w:sz w:val="21"/>
                <w:szCs w:val="21"/>
              </w:rPr>
              <w:t>0.5882</w:t>
            </w:r>
          </w:p>
        </w:tc>
      </w:tr>
      <w:tr w14:paraId="3F758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64" w:type="dxa"/>
            <w:noWrap/>
            <w:tcMar>
              <w:left w:w="0" w:type="dxa"/>
              <w:right w:w="0" w:type="dxa"/>
            </w:tcMar>
            <w:vAlign w:val="center"/>
          </w:tcPr>
          <w:p w14:paraId="220BDED7">
            <w:pPr>
              <w:pStyle w:val="39"/>
              <w:rPr>
                <w:rFonts w:ascii="宋体" w:hAnsi="宋体"/>
                <w:sz w:val="21"/>
                <w:szCs w:val="21"/>
              </w:rPr>
            </w:pPr>
            <w:r>
              <w:rPr>
                <w:rFonts w:ascii="宋体" w:hAnsi="宋体"/>
                <w:sz w:val="21"/>
                <w:szCs w:val="21"/>
              </w:rPr>
              <w:t>0.45</w:t>
            </w:r>
          </w:p>
        </w:tc>
        <w:tc>
          <w:tcPr>
            <w:tcW w:w="764" w:type="dxa"/>
            <w:noWrap/>
            <w:tcMar>
              <w:left w:w="0" w:type="dxa"/>
              <w:right w:w="0" w:type="dxa"/>
            </w:tcMar>
            <w:vAlign w:val="center"/>
          </w:tcPr>
          <w:p w14:paraId="3C70970D">
            <w:pPr>
              <w:pStyle w:val="39"/>
              <w:rPr>
                <w:rFonts w:ascii="宋体" w:hAnsi="宋体"/>
                <w:sz w:val="21"/>
                <w:szCs w:val="21"/>
              </w:rPr>
            </w:pPr>
            <w:r>
              <w:rPr>
                <w:rFonts w:ascii="宋体" w:hAnsi="宋体"/>
                <w:sz w:val="21"/>
                <w:szCs w:val="21"/>
              </w:rPr>
              <w:t>1.1267</w:t>
            </w:r>
          </w:p>
        </w:tc>
        <w:tc>
          <w:tcPr>
            <w:tcW w:w="764" w:type="dxa"/>
            <w:noWrap/>
            <w:tcMar>
              <w:left w:w="0" w:type="dxa"/>
              <w:right w:w="0" w:type="dxa"/>
            </w:tcMar>
            <w:vAlign w:val="center"/>
          </w:tcPr>
          <w:p w14:paraId="465FA95C">
            <w:pPr>
              <w:pStyle w:val="39"/>
              <w:rPr>
                <w:rFonts w:ascii="宋体" w:hAnsi="宋体"/>
                <w:sz w:val="21"/>
                <w:szCs w:val="21"/>
              </w:rPr>
            </w:pPr>
            <w:r>
              <w:rPr>
                <w:rFonts w:ascii="宋体" w:hAnsi="宋体"/>
                <w:sz w:val="21"/>
                <w:szCs w:val="21"/>
              </w:rPr>
              <w:t>1.0477</w:t>
            </w:r>
          </w:p>
        </w:tc>
        <w:tc>
          <w:tcPr>
            <w:tcW w:w="764" w:type="dxa"/>
            <w:noWrap/>
            <w:tcMar>
              <w:left w:w="0" w:type="dxa"/>
              <w:right w:w="0" w:type="dxa"/>
            </w:tcMar>
            <w:vAlign w:val="center"/>
          </w:tcPr>
          <w:p w14:paraId="5EF10DE1">
            <w:pPr>
              <w:pStyle w:val="39"/>
              <w:rPr>
                <w:rFonts w:ascii="宋体" w:hAnsi="宋体"/>
                <w:sz w:val="21"/>
                <w:szCs w:val="21"/>
              </w:rPr>
            </w:pPr>
            <w:r>
              <w:rPr>
                <w:rFonts w:ascii="宋体" w:hAnsi="宋体"/>
                <w:sz w:val="21"/>
                <w:szCs w:val="21"/>
              </w:rPr>
              <w:t>0.9787</w:t>
            </w:r>
          </w:p>
        </w:tc>
        <w:tc>
          <w:tcPr>
            <w:tcW w:w="763" w:type="dxa"/>
            <w:noWrap/>
            <w:tcMar>
              <w:left w:w="0" w:type="dxa"/>
              <w:right w:w="0" w:type="dxa"/>
            </w:tcMar>
            <w:vAlign w:val="center"/>
          </w:tcPr>
          <w:p w14:paraId="60AE5A50">
            <w:pPr>
              <w:pStyle w:val="39"/>
              <w:rPr>
                <w:rFonts w:ascii="宋体" w:hAnsi="宋体"/>
                <w:sz w:val="21"/>
                <w:szCs w:val="21"/>
              </w:rPr>
            </w:pPr>
            <w:r>
              <w:rPr>
                <w:rFonts w:ascii="宋体" w:hAnsi="宋体"/>
                <w:sz w:val="21"/>
                <w:szCs w:val="21"/>
              </w:rPr>
              <w:t>0.9180</w:t>
            </w:r>
          </w:p>
        </w:tc>
        <w:tc>
          <w:tcPr>
            <w:tcW w:w="763" w:type="dxa"/>
            <w:noWrap/>
            <w:tcMar>
              <w:left w:w="0" w:type="dxa"/>
              <w:right w:w="0" w:type="dxa"/>
            </w:tcMar>
            <w:vAlign w:val="center"/>
          </w:tcPr>
          <w:p w14:paraId="1BCB8648">
            <w:pPr>
              <w:pStyle w:val="39"/>
              <w:rPr>
                <w:rFonts w:ascii="宋体" w:hAnsi="宋体"/>
                <w:sz w:val="21"/>
                <w:szCs w:val="21"/>
              </w:rPr>
            </w:pPr>
            <w:r>
              <w:rPr>
                <w:rFonts w:ascii="宋体" w:hAnsi="宋体"/>
                <w:sz w:val="21"/>
                <w:szCs w:val="21"/>
              </w:rPr>
              <w:t>0.8641</w:t>
            </w:r>
          </w:p>
        </w:tc>
        <w:tc>
          <w:tcPr>
            <w:tcW w:w="763" w:type="dxa"/>
            <w:noWrap/>
            <w:tcMar>
              <w:left w:w="0" w:type="dxa"/>
              <w:right w:w="0" w:type="dxa"/>
            </w:tcMar>
            <w:vAlign w:val="center"/>
          </w:tcPr>
          <w:p w14:paraId="69EB3C1D">
            <w:pPr>
              <w:pStyle w:val="39"/>
              <w:rPr>
                <w:rFonts w:ascii="宋体" w:hAnsi="宋体"/>
                <w:sz w:val="21"/>
                <w:szCs w:val="21"/>
              </w:rPr>
            </w:pPr>
            <w:r>
              <w:rPr>
                <w:rFonts w:ascii="宋体" w:hAnsi="宋体"/>
                <w:sz w:val="21"/>
                <w:szCs w:val="21"/>
              </w:rPr>
              <w:t>0.8160</w:t>
            </w:r>
          </w:p>
        </w:tc>
        <w:tc>
          <w:tcPr>
            <w:tcW w:w="763" w:type="dxa"/>
            <w:noWrap/>
            <w:tcMar>
              <w:left w:w="0" w:type="dxa"/>
              <w:right w:w="0" w:type="dxa"/>
            </w:tcMar>
            <w:vAlign w:val="center"/>
          </w:tcPr>
          <w:p w14:paraId="006E1B13">
            <w:pPr>
              <w:pStyle w:val="39"/>
              <w:rPr>
                <w:rFonts w:ascii="宋体" w:hAnsi="宋体"/>
                <w:sz w:val="21"/>
                <w:szCs w:val="21"/>
              </w:rPr>
            </w:pPr>
            <w:r>
              <w:rPr>
                <w:rFonts w:ascii="宋体" w:hAnsi="宋体"/>
                <w:sz w:val="21"/>
                <w:szCs w:val="21"/>
              </w:rPr>
              <w:t>0.7729</w:t>
            </w:r>
          </w:p>
        </w:tc>
        <w:tc>
          <w:tcPr>
            <w:tcW w:w="763" w:type="dxa"/>
            <w:noWrap/>
            <w:tcMar>
              <w:left w:w="0" w:type="dxa"/>
              <w:right w:w="0" w:type="dxa"/>
            </w:tcMar>
            <w:vAlign w:val="center"/>
          </w:tcPr>
          <w:p w14:paraId="1B116905">
            <w:pPr>
              <w:pStyle w:val="39"/>
              <w:rPr>
                <w:rFonts w:ascii="宋体" w:hAnsi="宋体"/>
                <w:sz w:val="21"/>
                <w:szCs w:val="21"/>
              </w:rPr>
            </w:pPr>
            <w:r>
              <w:rPr>
                <w:rFonts w:ascii="宋体" w:hAnsi="宋体"/>
                <w:sz w:val="21"/>
                <w:szCs w:val="21"/>
              </w:rPr>
              <w:t>0.7341</w:t>
            </w:r>
          </w:p>
        </w:tc>
        <w:tc>
          <w:tcPr>
            <w:tcW w:w="763" w:type="dxa"/>
            <w:noWrap/>
            <w:tcMar>
              <w:left w:w="0" w:type="dxa"/>
              <w:right w:w="0" w:type="dxa"/>
            </w:tcMar>
            <w:vAlign w:val="center"/>
          </w:tcPr>
          <w:p w14:paraId="05F69261">
            <w:pPr>
              <w:pStyle w:val="39"/>
              <w:rPr>
                <w:rFonts w:ascii="宋体" w:hAnsi="宋体"/>
                <w:sz w:val="21"/>
                <w:szCs w:val="21"/>
              </w:rPr>
            </w:pPr>
            <w:r>
              <w:rPr>
                <w:rFonts w:ascii="宋体" w:hAnsi="宋体"/>
                <w:sz w:val="21"/>
                <w:szCs w:val="21"/>
              </w:rPr>
              <w:t>0.6989</w:t>
            </w:r>
          </w:p>
        </w:tc>
        <w:tc>
          <w:tcPr>
            <w:tcW w:w="763" w:type="dxa"/>
            <w:noWrap/>
            <w:tcMar>
              <w:left w:w="0" w:type="dxa"/>
              <w:right w:w="0" w:type="dxa"/>
            </w:tcMar>
            <w:vAlign w:val="center"/>
          </w:tcPr>
          <w:p w14:paraId="5F5A3CA2">
            <w:pPr>
              <w:pStyle w:val="39"/>
              <w:rPr>
                <w:rFonts w:ascii="宋体" w:hAnsi="宋体"/>
                <w:sz w:val="21"/>
                <w:szCs w:val="21"/>
              </w:rPr>
            </w:pPr>
            <w:r>
              <w:rPr>
                <w:rFonts w:ascii="宋体" w:hAnsi="宋体"/>
                <w:sz w:val="21"/>
                <w:szCs w:val="21"/>
              </w:rPr>
              <w:t>0.6669</w:t>
            </w:r>
          </w:p>
        </w:tc>
        <w:tc>
          <w:tcPr>
            <w:tcW w:w="763" w:type="dxa"/>
            <w:noWrap/>
            <w:tcMar>
              <w:left w:w="0" w:type="dxa"/>
              <w:right w:w="0" w:type="dxa"/>
            </w:tcMar>
            <w:vAlign w:val="center"/>
          </w:tcPr>
          <w:p w14:paraId="23D50D8C">
            <w:pPr>
              <w:pStyle w:val="39"/>
              <w:rPr>
                <w:rFonts w:ascii="宋体" w:hAnsi="宋体"/>
                <w:sz w:val="21"/>
                <w:szCs w:val="21"/>
              </w:rPr>
            </w:pPr>
            <w:r>
              <w:rPr>
                <w:rFonts w:ascii="宋体" w:hAnsi="宋体"/>
                <w:sz w:val="21"/>
                <w:szCs w:val="21"/>
              </w:rPr>
              <w:t>0.6377</w:t>
            </w:r>
          </w:p>
        </w:tc>
      </w:tr>
      <w:tr w14:paraId="5DCDC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64" w:type="dxa"/>
            <w:noWrap/>
            <w:tcMar>
              <w:left w:w="0" w:type="dxa"/>
              <w:right w:w="0" w:type="dxa"/>
            </w:tcMar>
            <w:vAlign w:val="center"/>
          </w:tcPr>
          <w:p w14:paraId="1B6B01F8">
            <w:pPr>
              <w:pStyle w:val="39"/>
              <w:rPr>
                <w:rFonts w:ascii="宋体" w:hAnsi="宋体"/>
                <w:sz w:val="21"/>
                <w:szCs w:val="21"/>
              </w:rPr>
            </w:pPr>
            <w:r>
              <w:rPr>
                <w:rFonts w:ascii="宋体" w:hAnsi="宋体"/>
                <w:sz w:val="21"/>
                <w:szCs w:val="21"/>
              </w:rPr>
              <w:t>0.50</w:t>
            </w:r>
          </w:p>
        </w:tc>
        <w:tc>
          <w:tcPr>
            <w:tcW w:w="764" w:type="dxa"/>
            <w:noWrap/>
            <w:tcMar>
              <w:left w:w="0" w:type="dxa"/>
              <w:right w:w="0" w:type="dxa"/>
            </w:tcMar>
            <w:vAlign w:val="center"/>
          </w:tcPr>
          <w:p w14:paraId="73374F06">
            <w:pPr>
              <w:pStyle w:val="39"/>
              <w:rPr>
                <w:rFonts w:ascii="宋体" w:hAnsi="宋体"/>
                <w:sz w:val="21"/>
                <w:szCs w:val="21"/>
              </w:rPr>
            </w:pPr>
            <w:r>
              <w:rPr>
                <w:rFonts w:ascii="宋体" w:hAnsi="宋体"/>
                <w:sz w:val="21"/>
                <w:szCs w:val="21"/>
              </w:rPr>
              <w:t>1.1854</w:t>
            </w:r>
          </w:p>
        </w:tc>
        <w:tc>
          <w:tcPr>
            <w:tcW w:w="764" w:type="dxa"/>
            <w:noWrap/>
            <w:tcMar>
              <w:left w:w="0" w:type="dxa"/>
              <w:right w:w="0" w:type="dxa"/>
            </w:tcMar>
            <w:vAlign w:val="center"/>
          </w:tcPr>
          <w:p w14:paraId="2BDF8168">
            <w:pPr>
              <w:pStyle w:val="39"/>
              <w:rPr>
                <w:rFonts w:ascii="宋体" w:hAnsi="宋体"/>
                <w:sz w:val="21"/>
                <w:szCs w:val="21"/>
              </w:rPr>
            </w:pPr>
            <w:r>
              <w:rPr>
                <w:rFonts w:ascii="宋体" w:hAnsi="宋体"/>
                <w:sz w:val="21"/>
                <w:szCs w:val="21"/>
              </w:rPr>
              <w:t>1.1040</w:t>
            </w:r>
          </w:p>
        </w:tc>
        <w:tc>
          <w:tcPr>
            <w:tcW w:w="764" w:type="dxa"/>
            <w:noWrap/>
            <w:tcMar>
              <w:left w:w="0" w:type="dxa"/>
              <w:right w:w="0" w:type="dxa"/>
            </w:tcMar>
            <w:vAlign w:val="center"/>
          </w:tcPr>
          <w:p w14:paraId="38743FBC">
            <w:pPr>
              <w:pStyle w:val="39"/>
              <w:rPr>
                <w:rFonts w:ascii="宋体" w:hAnsi="宋体"/>
                <w:sz w:val="21"/>
                <w:szCs w:val="21"/>
              </w:rPr>
            </w:pPr>
            <w:r>
              <w:rPr>
                <w:rFonts w:ascii="宋体" w:hAnsi="宋体"/>
                <w:sz w:val="21"/>
                <w:szCs w:val="21"/>
              </w:rPr>
              <w:t>1.0328</w:t>
            </w:r>
          </w:p>
        </w:tc>
        <w:tc>
          <w:tcPr>
            <w:tcW w:w="763" w:type="dxa"/>
            <w:noWrap/>
            <w:tcMar>
              <w:left w:w="0" w:type="dxa"/>
              <w:right w:w="0" w:type="dxa"/>
            </w:tcMar>
            <w:vAlign w:val="center"/>
          </w:tcPr>
          <w:p w14:paraId="5EBDD7AD">
            <w:pPr>
              <w:pStyle w:val="39"/>
              <w:rPr>
                <w:rFonts w:ascii="宋体" w:hAnsi="宋体"/>
                <w:sz w:val="21"/>
                <w:szCs w:val="21"/>
              </w:rPr>
            </w:pPr>
            <w:r>
              <w:rPr>
                <w:rFonts w:ascii="宋体" w:hAnsi="宋体"/>
                <w:sz w:val="21"/>
                <w:szCs w:val="21"/>
              </w:rPr>
              <w:t>0.9702</w:t>
            </w:r>
          </w:p>
        </w:tc>
        <w:tc>
          <w:tcPr>
            <w:tcW w:w="763" w:type="dxa"/>
            <w:noWrap/>
            <w:tcMar>
              <w:left w:w="0" w:type="dxa"/>
              <w:right w:w="0" w:type="dxa"/>
            </w:tcMar>
            <w:vAlign w:val="center"/>
          </w:tcPr>
          <w:p w14:paraId="3407F385">
            <w:pPr>
              <w:pStyle w:val="39"/>
              <w:rPr>
                <w:rFonts w:ascii="宋体" w:hAnsi="宋体"/>
                <w:sz w:val="21"/>
                <w:szCs w:val="21"/>
              </w:rPr>
            </w:pPr>
            <w:r>
              <w:rPr>
                <w:rFonts w:ascii="宋体" w:hAnsi="宋体"/>
                <w:sz w:val="21"/>
                <w:szCs w:val="21"/>
              </w:rPr>
              <w:t>0.9146</w:t>
            </w:r>
          </w:p>
        </w:tc>
        <w:tc>
          <w:tcPr>
            <w:tcW w:w="763" w:type="dxa"/>
            <w:noWrap/>
            <w:tcMar>
              <w:left w:w="0" w:type="dxa"/>
              <w:right w:w="0" w:type="dxa"/>
            </w:tcMar>
            <w:vAlign w:val="center"/>
          </w:tcPr>
          <w:p w14:paraId="30160FD5">
            <w:pPr>
              <w:pStyle w:val="39"/>
              <w:rPr>
                <w:rFonts w:ascii="宋体" w:hAnsi="宋体"/>
                <w:sz w:val="21"/>
                <w:szCs w:val="21"/>
              </w:rPr>
            </w:pPr>
            <w:r>
              <w:rPr>
                <w:rFonts w:ascii="宋体" w:hAnsi="宋体"/>
                <w:sz w:val="21"/>
                <w:szCs w:val="21"/>
              </w:rPr>
              <w:t>0.8651</w:t>
            </w:r>
          </w:p>
        </w:tc>
        <w:tc>
          <w:tcPr>
            <w:tcW w:w="763" w:type="dxa"/>
            <w:noWrap/>
            <w:tcMar>
              <w:left w:w="0" w:type="dxa"/>
              <w:right w:w="0" w:type="dxa"/>
            </w:tcMar>
            <w:vAlign w:val="center"/>
          </w:tcPr>
          <w:p w14:paraId="596A220A">
            <w:pPr>
              <w:pStyle w:val="39"/>
              <w:rPr>
                <w:rFonts w:ascii="宋体" w:hAnsi="宋体"/>
                <w:sz w:val="21"/>
                <w:szCs w:val="21"/>
              </w:rPr>
            </w:pPr>
            <w:r>
              <w:rPr>
                <w:rFonts w:ascii="宋体" w:hAnsi="宋体"/>
                <w:sz w:val="21"/>
                <w:szCs w:val="21"/>
              </w:rPr>
              <w:t>0.8206</w:t>
            </w:r>
          </w:p>
        </w:tc>
        <w:tc>
          <w:tcPr>
            <w:tcW w:w="763" w:type="dxa"/>
            <w:noWrap/>
            <w:tcMar>
              <w:left w:w="0" w:type="dxa"/>
              <w:right w:w="0" w:type="dxa"/>
            </w:tcMar>
            <w:vAlign w:val="center"/>
          </w:tcPr>
          <w:p w14:paraId="57A8B44C">
            <w:pPr>
              <w:pStyle w:val="39"/>
              <w:rPr>
                <w:rFonts w:ascii="宋体" w:hAnsi="宋体"/>
                <w:sz w:val="21"/>
                <w:szCs w:val="21"/>
              </w:rPr>
            </w:pPr>
            <w:r>
              <w:rPr>
                <w:rFonts w:ascii="宋体" w:hAnsi="宋体"/>
                <w:sz w:val="21"/>
                <w:szCs w:val="21"/>
              </w:rPr>
              <w:t>0.7804</w:t>
            </w:r>
          </w:p>
        </w:tc>
        <w:tc>
          <w:tcPr>
            <w:tcW w:w="763" w:type="dxa"/>
            <w:noWrap/>
            <w:tcMar>
              <w:left w:w="0" w:type="dxa"/>
              <w:right w:w="0" w:type="dxa"/>
            </w:tcMar>
            <w:vAlign w:val="center"/>
          </w:tcPr>
          <w:p w14:paraId="7E199934">
            <w:pPr>
              <w:pStyle w:val="39"/>
              <w:rPr>
                <w:rFonts w:ascii="宋体" w:hAnsi="宋体"/>
                <w:sz w:val="21"/>
                <w:szCs w:val="21"/>
              </w:rPr>
            </w:pPr>
            <w:r>
              <w:rPr>
                <w:rFonts w:ascii="宋体" w:hAnsi="宋体"/>
                <w:sz w:val="21"/>
                <w:szCs w:val="21"/>
              </w:rPr>
              <w:t>0.7441</w:t>
            </w:r>
          </w:p>
        </w:tc>
        <w:tc>
          <w:tcPr>
            <w:tcW w:w="763" w:type="dxa"/>
            <w:noWrap/>
            <w:tcMar>
              <w:left w:w="0" w:type="dxa"/>
              <w:right w:w="0" w:type="dxa"/>
            </w:tcMar>
            <w:vAlign w:val="center"/>
          </w:tcPr>
          <w:p w14:paraId="371758AD">
            <w:pPr>
              <w:pStyle w:val="39"/>
              <w:rPr>
                <w:rFonts w:ascii="宋体" w:hAnsi="宋体"/>
                <w:sz w:val="21"/>
                <w:szCs w:val="21"/>
              </w:rPr>
            </w:pPr>
            <w:r>
              <w:rPr>
                <w:rFonts w:ascii="宋体" w:hAnsi="宋体"/>
                <w:sz w:val="21"/>
                <w:szCs w:val="21"/>
              </w:rPr>
              <w:t>0.7110</w:t>
            </w:r>
          </w:p>
        </w:tc>
        <w:tc>
          <w:tcPr>
            <w:tcW w:w="763" w:type="dxa"/>
            <w:noWrap/>
            <w:tcMar>
              <w:left w:w="0" w:type="dxa"/>
              <w:right w:w="0" w:type="dxa"/>
            </w:tcMar>
            <w:vAlign w:val="center"/>
          </w:tcPr>
          <w:p w14:paraId="15B1B732">
            <w:pPr>
              <w:pStyle w:val="39"/>
              <w:rPr>
                <w:rFonts w:ascii="宋体" w:hAnsi="宋体"/>
                <w:sz w:val="21"/>
                <w:szCs w:val="21"/>
              </w:rPr>
            </w:pPr>
            <w:r>
              <w:rPr>
                <w:rFonts w:ascii="宋体" w:hAnsi="宋体"/>
                <w:sz w:val="21"/>
                <w:szCs w:val="21"/>
              </w:rPr>
              <w:t>0.6807</w:t>
            </w:r>
          </w:p>
        </w:tc>
      </w:tr>
      <w:tr w14:paraId="7B934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64" w:type="dxa"/>
            <w:noWrap/>
            <w:tcMar>
              <w:left w:w="0" w:type="dxa"/>
              <w:right w:w="0" w:type="dxa"/>
            </w:tcMar>
            <w:vAlign w:val="center"/>
          </w:tcPr>
          <w:p w14:paraId="39F9D7FF">
            <w:pPr>
              <w:pStyle w:val="39"/>
              <w:rPr>
                <w:rFonts w:ascii="宋体" w:hAnsi="宋体"/>
                <w:sz w:val="21"/>
                <w:szCs w:val="21"/>
              </w:rPr>
            </w:pPr>
            <w:r>
              <w:rPr>
                <w:rFonts w:ascii="宋体" w:hAnsi="宋体"/>
                <w:sz w:val="21"/>
                <w:szCs w:val="21"/>
              </w:rPr>
              <w:t>0.55</w:t>
            </w:r>
          </w:p>
        </w:tc>
        <w:tc>
          <w:tcPr>
            <w:tcW w:w="764" w:type="dxa"/>
            <w:noWrap/>
            <w:tcMar>
              <w:left w:w="0" w:type="dxa"/>
              <w:right w:w="0" w:type="dxa"/>
            </w:tcMar>
            <w:vAlign w:val="center"/>
          </w:tcPr>
          <w:p w14:paraId="40E020C3">
            <w:pPr>
              <w:pStyle w:val="39"/>
              <w:rPr>
                <w:rFonts w:ascii="宋体" w:hAnsi="宋体"/>
                <w:sz w:val="21"/>
                <w:szCs w:val="21"/>
              </w:rPr>
            </w:pPr>
            <w:r>
              <w:rPr>
                <w:rFonts w:ascii="宋体" w:hAnsi="宋体"/>
                <w:sz w:val="21"/>
                <w:szCs w:val="21"/>
              </w:rPr>
              <w:t>1.2271</w:t>
            </w:r>
          </w:p>
        </w:tc>
        <w:tc>
          <w:tcPr>
            <w:tcW w:w="764" w:type="dxa"/>
            <w:noWrap/>
            <w:tcMar>
              <w:left w:w="0" w:type="dxa"/>
              <w:right w:w="0" w:type="dxa"/>
            </w:tcMar>
            <w:vAlign w:val="center"/>
          </w:tcPr>
          <w:p w14:paraId="7155AB7C">
            <w:pPr>
              <w:pStyle w:val="39"/>
              <w:rPr>
                <w:rFonts w:ascii="宋体" w:hAnsi="宋体"/>
                <w:sz w:val="21"/>
                <w:szCs w:val="21"/>
              </w:rPr>
            </w:pPr>
            <w:r>
              <w:rPr>
                <w:rFonts w:ascii="宋体" w:hAnsi="宋体"/>
                <w:sz w:val="21"/>
                <w:szCs w:val="21"/>
              </w:rPr>
              <w:t>1.1450</w:t>
            </w:r>
          </w:p>
        </w:tc>
        <w:tc>
          <w:tcPr>
            <w:tcW w:w="764" w:type="dxa"/>
            <w:noWrap/>
            <w:tcMar>
              <w:left w:w="0" w:type="dxa"/>
              <w:right w:w="0" w:type="dxa"/>
            </w:tcMar>
            <w:vAlign w:val="center"/>
          </w:tcPr>
          <w:p w14:paraId="7EA09B4B">
            <w:pPr>
              <w:pStyle w:val="39"/>
              <w:rPr>
                <w:rFonts w:ascii="宋体" w:hAnsi="宋体"/>
                <w:sz w:val="21"/>
                <w:szCs w:val="21"/>
              </w:rPr>
            </w:pPr>
            <w:r>
              <w:rPr>
                <w:rFonts w:ascii="宋体" w:hAnsi="宋体"/>
                <w:sz w:val="21"/>
                <w:szCs w:val="21"/>
              </w:rPr>
              <w:t>1.0734</w:t>
            </w:r>
          </w:p>
        </w:tc>
        <w:tc>
          <w:tcPr>
            <w:tcW w:w="763" w:type="dxa"/>
            <w:noWrap/>
            <w:tcMar>
              <w:left w:w="0" w:type="dxa"/>
              <w:right w:w="0" w:type="dxa"/>
            </w:tcMar>
            <w:vAlign w:val="center"/>
          </w:tcPr>
          <w:p w14:paraId="72729822">
            <w:pPr>
              <w:pStyle w:val="39"/>
              <w:rPr>
                <w:rFonts w:ascii="宋体" w:hAnsi="宋体"/>
                <w:sz w:val="21"/>
                <w:szCs w:val="21"/>
              </w:rPr>
            </w:pPr>
            <w:r>
              <w:rPr>
                <w:rFonts w:ascii="宋体" w:hAnsi="宋体"/>
                <w:sz w:val="21"/>
                <w:szCs w:val="21"/>
              </w:rPr>
              <w:t>1.0103</w:t>
            </w:r>
          </w:p>
        </w:tc>
        <w:tc>
          <w:tcPr>
            <w:tcW w:w="763" w:type="dxa"/>
            <w:noWrap/>
            <w:tcMar>
              <w:left w:w="0" w:type="dxa"/>
              <w:right w:w="0" w:type="dxa"/>
            </w:tcMar>
            <w:vAlign w:val="center"/>
          </w:tcPr>
          <w:p w14:paraId="3143555A">
            <w:pPr>
              <w:pStyle w:val="39"/>
              <w:rPr>
                <w:rFonts w:ascii="宋体" w:hAnsi="宋体"/>
                <w:sz w:val="21"/>
                <w:szCs w:val="21"/>
              </w:rPr>
            </w:pPr>
            <w:r>
              <w:rPr>
                <w:rFonts w:ascii="宋体" w:hAnsi="宋体"/>
                <w:sz w:val="21"/>
                <w:szCs w:val="21"/>
              </w:rPr>
              <w:t>0.9543</w:t>
            </w:r>
          </w:p>
        </w:tc>
        <w:tc>
          <w:tcPr>
            <w:tcW w:w="763" w:type="dxa"/>
            <w:noWrap/>
            <w:tcMar>
              <w:left w:w="0" w:type="dxa"/>
              <w:right w:w="0" w:type="dxa"/>
            </w:tcMar>
            <w:vAlign w:val="center"/>
          </w:tcPr>
          <w:p w14:paraId="7F2E210D">
            <w:pPr>
              <w:pStyle w:val="39"/>
              <w:rPr>
                <w:rFonts w:ascii="宋体" w:hAnsi="宋体"/>
                <w:sz w:val="21"/>
                <w:szCs w:val="21"/>
              </w:rPr>
            </w:pPr>
            <w:r>
              <w:rPr>
                <w:rFonts w:ascii="宋体" w:hAnsi="宋体"/>
                <w:sz w:val="21"/>
                <w:szCs w:val="21"/>
              </w:rPr>
              <w:t>0.9043</w:t>
            </w:r>
          </w:p>
        </w:tc>
        <w:tc>
          <w:tcPr>
            <w:tcW w:w="763" w:type="dxa"/>
            <w:noWrap/>
            <w:tcMar>
              <w:left w:w="0" w:type="dxa"/>
              <w:right w:w="0" w:type="dxa"/>
            </w:tcMar>
            <w:vAlign w:val="center"/>
          </w:tcPr>
          <w:p w14:paraId="27B6FB3E">
            <w:pPr>
              <w:pStyle w:val="39"/>
              <w:rPr>
                <w:rFonts w:ascii="宋体" w:hAnsi="宋体"/>
                <w:sz w:val="21"/>
                <w:szCs w:val="21"/>
              </w:rPr>
            </w:pPr>
            <w:r>
              <w:rPr>
                <w:rFonts w:ascii="宋体" w:hAnsi="宋体"/>
                <w:sz w:val="21"/>
                <w:szCs w:val="21"/>
              </w:rPr>
              <w:t>0.8594</w:t>
            </w:r>
          </w:p>
        </w:tc>
        <w:tc>
          <w:tcPr>
            <w:tcW w:w="763" w:type="dxa"/>
            <w:noWrap/>
            <w:tcMar>
              <w:left w:w="0" w:type="dxa"/>
              <w:right w:w="0" w:type="dxa"/>
            </w:tcMar>
            <w:vAlign w:val="center"/>
          </w:tcPr>
          <w:p w14:paraId="31D13564">
            <w:pPr>
              <w:pStyle w:val="39"/>
              <w:rPr>
                <w:rFonts w:ascii="宋体" w:hAnsi="宋体"/>
                <w:sz w:val="21"/>
                <w:szCs w:val="21"/>
              </w:rPr>
            </w:pPr>
            <w:r>
              <w:rPr>
                <w:rFonts w:ascii="宋体" w:hAnsi="宋体"/>
                <w:sz w:val="21"/>
                <w:szCs w:val="21"/>
              </w:rPr>
              <w:t>0.8189</w:t>
            </w:r>
          </w:p>
        </w:tc>
        <w:tc>
          <w:tcPr>
            <w:tcW w:w="763" w:type="dxa"/>
            <w:noWrap/>
            <w:tcMar>
              <w:left w:w="0" w:type="dxa"/>
              <w:right w:w="0" w:type="dxa"/>
            </w:tcMar>
            <w:vAlign w:val="center"/>
          </w:tcPr>
          <w:p w14:paraId="41FA1C30">
            <w:pPr>
              <w:pStyle w:val="39"/>
              <w:rPr>
                <w:rFonts w:ascii="宋体" w:hAnsi="宋体"/>
                <w:sz w:val="21"/>
                <w:szCs w:val="21"/>
              </w:rPr>
            </w:pPr>
            <w:r>
              <w:rPr>
                <w:rFonts w:ascii="宋体" w:hAnsi="宋体"/>
                <w:sz w:val="21"/>
                <w:szCs w:val="21"/>
              </w:rPr>
              <w:t>0.7820</w:t>
            </w:r>
          </w:p>
        </w:tc>
        <w:tc>
          <w:tcPr>
            <w:tcW w:w="763" w:type="dxa"/>
            <w:noWrap/>
            <w:tcMar>
              <w:left w:w="0" w:type="dxa"/>
              <w:right w:w="0" w:type="dxa"/>
            </w:tcMar>
            <w:vAlign w:val="center"/>
          </w:tcPr>
          <w:p w14:paraId="331835A1">
            <w:pPr>
              <w:pStyle w:val="39"/>
              <w:rPr>
                <w:rFonts w:ascii="宋体" w:hAnsi="宋体"/>
                <w:sz w:val="21"/>
                <w:szCs w:val="21"/>
              </w:rPr>
            </w:pPr>
            <w:r>
              <w:rPr>
                <w:rFonts w:ascii="宋体" w:hAnsi="宋体"/>
                <w:sz w:val="21"/>
                <w:szCs w:val="21"/>
              </w:rPr>
              <w:t>0.7485</w:t>
            </w:r>
          </w:p>
        </w:tc>
        <w:tc>
          <w:tcPr>
            <w:tcW w:w="763" w:type="dxa"/>
            <w:noWrap/>
            <w:tcMar>
              <w:left w:w="0" w:type="dxa"/>
              <w:right w:w="0" w:type="dxa"/>
            </w:tcMar>
            <w:vAlign w:val="center"/>
          </w:tcPr>
          <w:p w14:paraId="42CE334F">
            <w:pPr>
              <w:pStyle w:val="39"/>
              <w:rPr>
                <w:rFonts w:ascii="宋体" w:hAnsi="宋体"/>
                <w:sz w:val="21"/>
                <w:szCs w:val="21"/>
              </w:rPr>
            </w:pPr>
            <w:r>
              <w:rPr>
                <w:rFonts w:ascii="宋体" w:hAnsi="宋体"/>
                <w:sz w:val="21"/>
                <w:szCs w:val="21"/>
              </w:rPr>
              <w:t>0.7177</w:t>
            </w:r>
          </w:p>
        </w:tc>
      </w:tr>
      <w:tr w14:paraId="263D3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64" w:type="dxa"/>
            <w:noWrap/>
            <w:tcMar>
              <w:left w:w="0" w:type="dxa"/>
              <w:right w:w="0" w:type="dxa"/>
            </w:tcMar>
            <w:vAlign w:val="center"/>
          </w:tcPr>
          <w:p w14:paraId="5BCBE386">
            <w:pPr>
              <w:pStyle w:val="39"/>
              <w:rPr>
                <w:rFonts w:ascii="宋体" w:hAnsi="宋体"/>
                <w:sz w:val="21"/>
                <w:szCs w:val="21"/>
              </w:rPr>
            </w:pPr>
            <w:r>
              <w:rPr>
                <w:rFonts w:ascii="宋体" w:hAnsi="宋体"/>
                <w:sz w:val="21"/>
                <w:szCs w:val="21"/>
              </w:rPr>
              <w:t>0.60</w:t>
            </w:r>
          </w:p>
        </w:tc>
        <w:tc>
          <w:tcPr>
            <w:tcW w:w="764" w:type="dxa"/>
            <w:noWrap/>
            <w:tcMar>
              <w:left w:w="0" w:type="dxa"/>
              <w:right w:w="0" w:type="dxa"/>
            </w:tcMar>
            <w:vAlign w:val="center"/>
          </w:tcPr>
          <w:p w14:paraId="37E47EB2">
            <w:pPr>
              <w:pStyle w:val="39"/>
              <w:rPr>
                <w:rFonts w:ascii="宋体" w:hAnsi="宋体"/>
                <w:sz w:val="21"/>
                <w:szCs w:val="21"/>
              </w:rPr>
            </w:pPr>
            <w:r>
              <w:rPr>
                <w:rFonts w:ascii="宋体" w:hAnsi="宋体"/>
                <w:sz w:val="21"/>
                <w:szCs w:val="21"/>
              </w:rPr>
              <w:t>1.2516</w:t>
            </w:r>
          </w:p>
        </w:tc>
        <w:tc>
          <w:tcPr>
            <w:tcW w:w="764" w:type="dxa"/>
            <w:noWrap/>
            <w:tcMar>
              <w:left w:w="0" w:type="dxa"/>
              <w:right w:w="0" w:type="dxa"/>
            </w:tcMar>
            <w:vAlign w:val="center"/>
          </w:tcPr>
          <w:p w14:paraId="53DD4589">
            <w:pPr>
              <w:pStyle w:val="39"/>
              <w:rPr>
                <w:rFonts w:ascii="宋体" w:hAnsi="宋体"/>
                <w:sz w:val="21"/>
                <w:szCs w:val="21"/>
              </w:rPr>
            </w:pPr>
            <w:r>
              <w:rPr>
                <w:rFonts w:ascii="宋体" w:hAnsi="宋体"/>
                <w:sz w:val="21"/>
                <w:szCs w:val="21"/>
              </w:rPr>
              <w:t>1.1709</w:t>
            </w:r>
          </w:p>
        </w:tc>
        <w:tc>
          <w:tcPr>
            <w:tcW w:w="764" w:type="dxa"/>
            <w:noWrap/>
            <w:tcMar>
              <w:left w:w="0" w:type="dxa"/>
              <w:right w:w="0" w:type="dxa"/>
            </w:tcMar>
            <w:vAlign w:val="center"/>
          </w:tcPr>
          <w:p w14:paraId="6AC16E8F">
            <w:pPr>
              <w:pStyle w:val="39"/>
              <w:rPr>
                <w:rFonts w:ascii="宋体" w:hAnsi="宋体"/>
                <w:sz w:val="21"/>
                <w:szCs w:val="21"/>
              </w:rPr>
            </w:pPr>
            <w:r>
              <w:rPr>
                <w:rFonts w:ascii="宋体" w:hAnsi="宋体"/>
                <w:sz w:val="21"/>
                <w:szCs w:val="21"/>
              </w:rPr>
              <w:t>1.1005</w:t>
            </w:r>
          </w:p>
        </w:tc>
        <w:tc>
          <w:tcPr>
            <w:tcW w:w="763" w:type="dxa"/>
            <w:noWrap/>
            <w:tcMar>
              <w:left w:w="0" w:type="dxa"/>
              <w:right w:w="0" w:type="dxa"/>
            </w:tcMar>
            <w:vAlign w:val="center"/>
          </w:tcPr>
          <w:p w14:paraId="19BB6354">
            <w:pPr>
              <w:pStyle w:val="39"/>
              <w:rPr>
                <w:rFonts w:ascii="宋体" w:hAnsi="宋体"/>
                <w:sz w:val="21"/>
                <w:szCs w:val="21"/>
              </w:rPr>
            </w:pPr>
            <w:r>
              <w:rPr>
                <w:rFonts w:ascii="宋体" w:hAnsi="宋体"/>
                <w:sz w:val="21"/>
                <w:szCs w:val="21"/>
              </w:rPr>
              <w:t>1.0385</w:t>
            </w:r>
          </w:p>
        </w:tc>
        <w:tc>
          <w:tcPr>
            <w:tcW w:w="763" w:type="dxa"/>
            <w:noWrap/>
            <w:tcMar>
              <w:left w:w="0" w:type="dxa"/>
              <w:right w:w="0" w:type="dxa"/>
            </w:tcMar>
            <w:vAlign w:val="center"/>
          </w:tcPr>
          <w:p w14:paraId="44DE5F43">
            <w:pPr>
              <w:pStyle w:val="39"/>
              <w:rPr>
                <w:rFonts w:ascii="宋体" w:hAnsi="宋体"/>
                <w:sz w:val="21"/>
                <w:szCs w:val="21"/>
              </w:rPr>
            </w:pPr>
            <w:r>
              <w:rPr>
                <w:rFonts w:ascii="宋体" w:hAnsi="宋体"/>
                <w:sz w:val="21"/>
                <w:szCs w:val="21"/>
              </w:rPr>
              <w:t>0.9834</w:t>
            </w:r>
          </w:p>
        </w:tc>
        <w:tc>
          <w:tcPr>
            <w:tcW w:w="763" w:type="dxa"/>
            <w:noWrap/>
            <w:tcMar>
              <w:left w:w="0" w:type="dxa"/>
              <w:right w:w="0" w:type="dxa"/>
            </w:tcMar>
            <w:vAlign w:val="center"/>
          </w:tcPr>
          <w:p w14:paraId="21F96DB3">
            <w:pPr>
              <w:pStyle w:val="39"/>
              <w:rPr>
                <w:rFonts w:ascii="宋体" w:hAnsi="宋体"/>
                <w:sz w:val="21"/>
                <w:szCs w:val="21"/>
              </w:rPr>
            </w:pPr>
            <w:r>
              <w:rPr>
                <w:rFonts w:ascii="宋体" w:hAnsi="宋体"/>
                <w:sz w:val="21"/>
                <w:szCs w:val="21"/>
              </w:rPr>
              <w:t>0.9341</w:t>
            </w:r>
          </w:p>
        </w:tc>
        <w:tc>
          <w:tcPr>
            <w:tcW w:w="763" w:type="dxa"/>
            <w:noWrap/>
            <w:tcMar>
              <w:left w:w="0" w:type="dxa"/>
              <w:right w:w="0" w:type="dxa"/>
            </w:tcMar>
            <w:vAlign w:val="center"/>
          </w:tcPr>
          <w:p w14:paraId="78F23621">
            <w:pPr>
              <w:pStyle w:val="39"/>
              <w:rPr>
                <w:rFonts w:ascii="宋体" w:hAnsi="宋体"/>
                <w:sz w:val="21"/>
                <w:szCs w:val="21"/>
              </w:rPr>
            </w:pPr>
            <w:r>
              <w:rPr>
                <w:rFonts w:ascii="宋体" w:hAnsi="宋体"/>
                <w:sz w:val="21"/>
                <w:szCs w:val="21"/>
              </w:rPr>
              <w:t>0.8898</w:t>
            </w:r>
          </w:p>
        </w:tc>
        <w:tc>
          <w:tcPr>
            <w:tcW w:w="763" w:type="dxa"/>
            <w:noWrap/>
            <w:tcMar>
              <w:left w:w="0" w:type="dxa"/>
              <w:right w:w="0" w:type="dxa"/>
            </w:tcMar>
            <w:vAlign w:val="center"/>
          </w:tcPr>
          <w:p w14:paraId="7F13827A">
            <w:pPr>
              <w:pStyle w:val="39"/>
              <w:rPr>
                <w:rFonts w:ascii="宋体" w:hAnsi="宋体"/>
                <w:sz w:val="21"/>
                <w:szCs w:val="21"/>
              </w:rPr>
            </w:pPr>
            <w:r>
              <w:rPr>
                <w:rFonts w:ascii="宋体" w:hAnsi="宋体"/>
                <w:sz w:val="21"/>
                <w:szCs w:val="21"/>
              </w:rPr>
              <w:t>0.8496</w:t>
            </w:r>
          </w:p>
        </w:tc>
        <w:tc>
          <w:tcPr>
            <w:tcW w:w="763" w:type="dxa"/>
            <w:noWrap/>
            <w:tcMar>
              <w:left w:w="0" w:type="dxa"/>
              <w:right w:w="0" w:type="dxa"/>
            </w:tcMar>
            <w:vAlign w:val="center"/>
          </w:tcPr>
          <w:p w14:paraId="2A817124">
            <w:pPr>
              <w:pStyle w:val="39"/>
              <w:rPr>
                <w:rFonts w:ascii="宋体" w:hAnsi="宋体"/>
                <w:sz w:val="21"/>
                <w:szCs w:val="21"/>
              </w:rPr>
            </w:pPr>
            <w:r>
              <w:rPr>
                <w:rFonts w:ascii="宋体" w:hAnsi="宋体"/>
                <w:sz w:val="21"/>
                <w:szCs w:val="21"/>
              </w:rPr>
              <w:t>0.8131</w:t>
            </w:r>
          </w:p>
        </w:tc>
        <w:tc>
          <w:tcPr>
            <w:tcW w:w="763" w:type="dxa"/>
            <w:noWrap/>
            <w:tcMar>
              <w:left w:w="0" w:type="dxa"/>
              <w:right w:w="0" w:type="dxa"/>
            </w:tcMar>
            <w:vAlign w:val="center"/>
          </w:tcPr>
          <w:p w14:paraId="42DE3E6E">
            <w:pPr>
              <w:pStyle w:val="39"/>
              <w:rPr>
                <w:rFonts w:ascii="宋体" w:hAnsi="宋体"/>
                <w:sz w:val="21"/>
                <w:szCs w:val="21"/>
              </w:rPr>
            </w:pPr>
            <w:r>
              <w:rPr>
                <w:rFonts w:ascii="宋体" w:hAnsi="宋体"/>
                <w:sz w:val="21"/>
                <w:szCs w:val="21"/>
              </w:rPr>
              <w:t>0.7797</w:t>
            </w:r>
          </w:p>
        </w:tc>
        <w:tc>
          <w:tcPr>
            <w:tcW w:w="763" w:type="dxa"/>
            <w:noWrap/>
            <w:tcMar>
              <w:left w:w="0" w:type="dxa"/>
              <w:right w:w="0" w:type="dxa"/>
            </w:tcMar>
            <w:vAlign w:val="center"/>
          </w:tcPr>
          <w:p w14:paraId="630DDF52">
            <w:pPr>
              <w:pStyle w:val="39"/>
              <w:rPr>
                <w:rFonts w:ascii="宋体" w:hAnsi="宋体"/>
                <w:sz w:val="21"/>
                <w:szCs w:val="21"/>
              </w:rPr>
            </w:pPr>
            <w:r>
              <w:rPr>
                <w:rFonts w:ascii="宋体" w:hAnsi="宋体"/>
                <w:sz w:val="21"/>
                <w:szCs w:val="21"/>
              </w:rPr>
              <w:t>0.7490</w:t>
            </w:r>
          </w:p>
        </w:tc>
      </w:tr>
      <w:tr w14:paraId="7A463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64" w:type="dxa"/>
            <w:noWrap/>
            <w:tcMar>
              <w:left w:w="0" w:type="dxa"/>
              <w:right w:w="0" w:type="dxa"/>
            </w:tcMar>
            <w:vAlign w:val="center"/>
          </w:tcPr>
          <w:p w14:paraId="14DCEAB2">
            <w:pPr>
              <w:pStyle w:val="39"/>
              <w:rPr>
                <w:rFonts w:ascii="宋体" w:hAnsi="宋体"/>
                <w:sz w:val="21"/>
                <w:szCs w:val="21"/>
              </w:rPr>
            </w:pPr>
            <w:r>
              <w:rPr>
                <w:rFonts w:ascii="宋体" w:hAnsi="宋体"/>
                <w:sz w:val="21"/>
                <w:szCs w:val="21"/>
              </w:rPr>
              <w:t>0.65</w:t>
            </w:r>
          </w:p>
        </w:tc>
        <w:tc>
          <w:tcPr>
            <w:tcW w:w="764" w:type="dxa"/>
            <w:noWrap/>
            <w:tcMar>
              <w:left w:w="0" w:type="dxa"/>
              <w:right w:w="0" w:type="dxa"/>
            </w:tcMar>
            <w:vAlign w:val="center"/>
          </w:tcPr>
          <w:p w14:paraId="7A246821">
            <w:pPr>
              <w:pStyle w:val="39"/>
              <w:rPr>
                <w:rFonts w:ascii="宋体" w:hAnsi="宋体"/>
                <w:sz w:val="21"/>
                <w:szCs w:val="21"/>
              </w:rPr>
            </w:pPr>
            <w:r>
              <w:rPr>
                <w:rFonts w:ascii="宋体" w:hAnsi="宋体"/>
                <w:sz w:val="21"/>
                <w:szCs w:val="21"/>
              </w:rPr>
              <w:t>1.2596</w:t>
            </w:r>
          </w:p>
        </w:tc>
        <w:tc>
          <w:tcPr>
            <w:tcW w:w="764" w:type="dxa"/>
            <w:noWrap/>
            <w:tcMar>
              <w:left w:w="0" w:type="dxa"/>
              <w:right w:w="0" w:type="dxa"/>
            </w:tcMar>
            <w:vAlign w:val="center"/>
          </w:tcPr>
          <w:p w14:paraId="61BBC667">
            <w:pPr>
              <w:pStyle w:val="39"/>
              <w:rPr>
                <w:rFonts w:ascii="宋体" w:hAnsi="宋体"/>
                <w:sz w:val="21"/>
                <w:szCs w:val="21"/>
              </w:rPr>
            </w:pPr>
            <w:r>
              <w:rPr>
                <w:rFonts w:ascii="宋体" w:hAnsi="宋体"/>
                <w:sz w:val="21"/>
                <w:szCs w:val="21"/>
              </w:rPr>
              <w:t>1.1825</w:t>
            </w:r>
          </w:p>
        </w:tc>
        <w:tc>
          <w:tcPr>
            <w:tcW w:w="764" w:type="dxa"/>
            <w:noWrap/>
            <w:tcMar>
              <w:left w:w="0" w:type="dxa"/>
              <w:right w:w="0" w:type="dxa"/>
            </w:tcMar>
            <w:vAlign w:val="center"/>
          </w:tcPr>
          <w:p w14:paraId="7BB7468A">
            <w:pPr>
              <w:pStyle w:val="39"/>
              <w:rPr>
                <w:rFonts w:ascii="宋体" w:hAnsi="宋体"/>
                <w:sz w:val="21"/>
                <w:szCs w:val="21"/>
              </w:rPr>
            </w:pPr>
            <w:r>
              <w:rPr>
                <w:rFonts w:ascii="宋体" w:hAnsi="宋体"/>
                <w:sz w:val="21"/>
                <w:szCs w:val="21"/>
              </w:rPr>
              <w:t>1.1151</w:t>
            </w:r>
          </w:p>
        </w:tc>
        <w:tc>
          <w:tcPr>
            <w:tcW w:w="763" w:type="dxa"/>
            <w:noWrap/>
            <w:tcMar>
              <w:left w:w="0" w:type="dxa"/>
              <w:right w:w="0" w:type="dxa"/>
            </w:tcMar>
            <w:vAlign w:val="center"/>
          </w:tcPr>
          <w:p w14:paraId="411A1644">
            <w:pPr>
              <w:pStyle w:val="39"/>
              <w:rPr>
                <w:rFonts w:ascii="宋体" w:hAnsi="宋体"/>
                <w:sz w:val="21"/>
                <w:szCs w:val="21"/>
              </w:rPr>
            </w:pPr>
            <w:r>
              <w:rPr>
                <w:rFonts w:ascii="宋体" w:hAnsi="宋体"/>
                <w:sz w:val="21"/>
                <w:szCs w:val="21"/>
              </w:rPr>
              <w:t>1.0556</w:t>
            </w:r>
          </w:p>
        </w:tc>
        <w:tc>
          <w:tcPr>
            <w:tcW w:w="763" w:type="dxa"/>
            <w:noWrap/>
            <w:tcMar>
              <w:left w:w="0" w:type="dxa"/>
              <w:right w:w="0" w:type="dxa"/>
            </w:tcMar>
            <w:vAlign w:val="center"/>
          </w:tcPr>
          <w:p w14:paraId="20D50B8B">
            <w:pPr>
              <w:pStyle w:val="39"/>
              <w:rPr>
                <w:rFonts w:ascii="宋体" w:hAnsi="宋体"/>
                <w:sz w:val="21"/>
                <w:szCs w:val="21"/>
              </w:rPr>
            </w:pPr>
            <w:r>
              <w:rPr>
                <w:rFonts w:ascii="宋体" w:hAnsi="宋体"/>
                <w:sz w:val="21"/>
                <w:szCs w:val="21"/>
              </w:rPr>
              <w:t>1.0026</w:t>
            </w:r>
          </w:p>
        </w:tc>
        <w:tc>
          <w:tcPr>
            <w:tcW w:w="763" w:type="dxa"/>
            <w:noWrap/>
            <w:tcMar>
              <w:left w:w="0" w:type="dxa"/>
              <w:right w:w="0" w:type="dxa"/>
            </w:tcMar>
            <w:vAlign w:val="center"/>
          </w:tcPr>
          <w:p w14:paraId="282888FF">
            <w:pPr>
              <w:pStyle w:val="39"/>
              <w:rPr>
                <w:rFonts w:ascii="宋体" w:hAnsi="宋体"/>
                <w:sz w:val="21"/>
                <w:szCs w:val="21"/>
              </w:rPr>
            </w:pPr>
            <w:r>
              <w:rPr>
                <w:rFonts w:ascii="宋体" w:hAnsi="宋体"/>
                <w:sz w:val="21"/>
                <w:szCs w:val="21"/>
              </w:rPr>
              <w:t>0.9552</w:t>
            </w:r>
          </w:p>
        </w:tc>
        <w:tc>
          <w:tcPr>
            <w:tcW w:w="763" w:type="dxa"/>
            <w:noWrap/>
            <w:tcMar>
              <w:left w:w="0" w:type="dxa"/>
              <w:right w:w="0" w:type="dxa"/>
            </w:tcMar>
            <w:vAlign w:val="center"/>
          </w:tcPr>
          <w:p w14:paraId="361C6CA3">
            <w:pPr>
              <w:pStyle w:val="39"/>
              <w:rPr>
                <w:rFonts w:ascii="宋体" w:hAnsi="宋体"/>
                <w:sz w:val="21"/>
                <w:szCs w:val="21"/>
              </w:rPr>
            </w:pPr>
            <w:r>
              <w:rPr>
                <w:rFonts w:ascii="宋体" w:hAnsi="宋体"/>
                <w:sz w:val="21"/>
                <w:szCs w:val="21"/>
              </w:rPr>
              <w:t>0.9123</w:t>
            </w:r>
          </w:p>
        </w:tc>
        <w:tc>
          <w:tcPr>
            <w:tcW w:w="763" w:type="dxa"/>
            <w:noWrap/>
            <w:tcMar>
              <w:left w:w="0" w:type="dxa"/>
              <w:right w:w="0" w:type="dxa"/>
            </w:tcMar>
            <w:vAlign w:val="center"/>
          </w:tcPr>
          <w:p w14:paraId="7B80866C">
            <w:pPr>
              <w:pStyle w:val="39"/>
              <w:rPr>
                <w:rFonts w:ascii="宋体" w:hAnsi="宋体"/>
                <w:sz w:val="21"/>
                <w:szCs w:val="21"/>
              </w:rPr>
            </w:pPr>
            <w:r>
              <w:rPr>
                <w:rFonts w:ascii="宋体" w:hAnsi="宋体"/>
                <w:sz w:val="21"/>
                <w:szCs w:val="21"/>
              </w:rPr>
              <w:t>0.8734</w:t>
            </w:r>
          </w:p>
        </w:tc>
        <w:tc>
          <w:tcPr>
            <w:tcW w:w="763" w:type="dxa"/>
            <w:noWrap/>
            <w:tcMar>
              <w:left w:w="0" w:type="dxa"/>
              <w:right w:w="0" w:type="dxa"/>
            </w:tcMar>
            <w:vAlign w:val="center"/>
          </w:tcPr>
          <w:p w14:paraId="0CB1DBF1">
            <w:pPr>
              <w:pStyle w:val="39"/>
              <w:rPr>
                <w:rFonts w:ascii="宋体" w:hAnsi="宋体"/>
                <w:sz w:val="21"/>
                <w:szCs w:val="21"/>
              </w:rPr>
            </w:pPr>
            <w:r>
              <w:rPr>
                <w:rFonts w:ascii="宋体" w:hAnsi="宋体"/>
                <w:sz w:val="21"/>
                <w:szCs w:val="21"/>
              </w:rPr>
              <w:t>0.8378</w:t>
            </w:r>
          </w:p>
        </w:tc>
        <w:tc>
          <w:tcPr>
            <w:tcW w:w="763" w:type="dxa"/>
            <w:noWrap/>
            <w:tcMar>
              <w:left w:w="0" w:type="dxa"/>
              <w:right w:w="0" w:type="dxa"/>
            </w:tcMar>
            <w:vAlign w:val="center"/>
          </w:tcPr>
          <w:p w14:paraId="1E4F6606">
            <w:pPr>
              <w:pStyle w:val="39"/>
              <w:rPr>
                <w:rFonts w:ascii="宋体" w:hAnsi="宋体"/>
                <w:sz w:val="21"/>
                <w:szCs w:val="21"/>
              </w:rPr>
            </w:pPr>
            <w:r>
              <w:rPr>
                <w:rFonts w:ascii="宋体" w:hAnsi="宋体"/>
                <w:sz w:val="21"/>
                <w:szCs w:val="21"/>
              </w:rPr>
              <w:t>0.8052</w:t>
            </w:r>
          </w:p>
        </w:tc>
        <w:tc>
          <w:tcPr>
            <w:tcW w:w="763" w:type="dxa"/>
            <w:noWrap/>
            <w:tcMar>
              <w:left w:w="0" w:type="dxa"/>
              <w:right w:w="0" w:type="dxa"/>
            </w:tcMar>
            <w:vAlign w:val="center"/>
          </w:tcPr>
          <w:p w14:paraId="6709B3DE">
            <w:pPr>
              <w:pStyle w:val="39"/>
              <w:rPr>
                <w:rFonts w:ascii="宋体" w:hAnsi="宋体"/>
                <w:sz w:val="21"/>
                <w:szCs w:val="21"/>
              </w:rPr>
            </w:pPr>
            <w:r>
              <w:rPr>
                <w:rFonts w:ascii="宋体" w:hAnsi="宋体"/>
                <w:sz w:val="21"/>
                <w:szCs w:val="21"/>
              </w:rPr>
              <w:t>0.7751</w:t>
            </w:r>
          </w:p>
        </w:tc>
      </w:tr>
      <w:tr w14:paraId="02507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64" w:type="dxa"/>
            <w:noWrap/>
            <w:tcMar>
              <w:left w:w="0" w:type="dxa"/>
              <w:right w:w="0" w:type="dxa"/>
            </w:tcMar>
            <w:vAlign w:val="center"/>
          </w:tcPr>
          <w:p w14:paraId="725DA3F5">
            <w:pPr>
              <w:pStyle w:val="39"/>
              <w:rPr>
                <w:rFonts w:ascii="宋体" w:hAnsi="宋体"/>
                <w:sz w:val="21"/>
                <w:szCs w:val="21"/>
              </w:rPr>
            </w:pPr>
            <w:r>
              <w:rPr>
                <w:rFonts w:ascii="宋体" w:hAnsi="宋体"/>
                <w:sz w:val="21"/>
                <w:szCs w:val="21"/>
              </w:rPr>
              <w:t>0.70</w:t>
            </w:r>
          </w:p>
        </w:tc>
        <w:tc>
          <w:tcPr>
            <w:tcW w:w="764" w:type="dxa"/>
            <w:noWrap/>
            <w:tcMar>
              <w:left w:w="0" w:type="dxa"/>
              <w:right w:w="0" w:type="dxa"/>
            </w:tcMar>
            <w:vAlign w:val="center"/>
          </w:tcPr>
          <w:p w14:paraId="0D67D2F0">
            <w:pPr>
              <w:pStyle w:val="39"/>
              <w:rPr>
                <w:rFonts w:ascii="宋体" w:hAnsi="宋体"/>
                <w:sz w:val="21"/>
                <w:szCs w:val="21"/>
              </w:rPr>
            </w:pPr>
            <w:r>
              <w:rPr>
                <w:rFonts w:ascii="宋体" w:hAnsi="宋体"/>
                <w:sz w:val="21"/>
                <w:szCs w:val="21"/>
              </w:rPr>
              <w:t>1.2521</w:t>
            </w:r>
          </w:p>
        </w:tc>
        <w:tc>
          <w:tcPr>
            <w:tcW w:w="764" w:type="dxa"/>
            <w:noWrap/>
            <w:tcMar>
              <w:left w:w="0" w:type="dxa"/>
              <w:right w:w="0" w:type="dxa"/>
            </w:tcMar>
            <w:vAlign w:val="center"/>
          </w:tcPr>
          <w:p w14:paraId="6313E813">
            <w:pPr>
              <w:pStyle w:val="39"/>
              <w:rPr>
                <w:rFonts w:ascii="宋体" w:hAnsi="宋体"/>
                <w:sz w:val="21"/>
                <w:szCs w:val="21"/>
              </w:rPr>
            </w:pPr>
            <w:r>
              <w:rPr>
                <w:rFonts w:ascii="宋体" w:hAnsi="宋体"/>
                <w:sz w:val="21"/>
                <w:szCs w:val="21"/>
              </w:rPr>
              <w:t>1.1805</w:t>
            </w:r>
          </w:p>
        </w:tc>
        <w:tc>
          <w:tcPr>
            <w:tcW w:w="764" w:type="dxa"/>
            <w:noWrap/>
            <w:tcMar>
              <w:left w:w="0" w:type="dxa"/>
              <w:right w:w="0" w:type="dxa"/>
            </w:tcMar>
            <w:vAlign w:val="center"/>
          </w:tcPr>
          <w:p w14:paraId="0DBB0529">
            <w:pPr>
              <w:pStyle w:val="39"/>
              <w:rPr>
                <w:rFonts w:ascii="宋体" w:hAnsi="宋体"/>
                <w:sz w:val="21"/>
                <w:szCs w:val="21"/>
              </w:rPr>
            </w:pPr>
            <w:r>
              <w:rPr>
                <w:rFonts w:ascii="宋体" w:hAnsi="宋体"/>
                <w:sz w:val="21"/>
                <w:szCs w:val="21"/>
              </w:rPr>
              <w:t>1.1179</w:t>
            </w:r>
          </w:p>
        </w:tc>
        <w:tc>
          <w:tcPr>
            <w:tcW w:w="763" w:type="dxa"/>
            <w:noWrap/>
            <w:tcMar>
              <w:left w:w="0" w:type="dxa"/>
              <w:right w:w="0" w:type="dxa"/>
            </w:tcMar>
            <w:vAlign w:val="center"/>
          </w:tcPr>
          <w:p w14:paraId="5AC1AAB8">
            <w:pPr>
              <w:pStyle w:val="39"/>
              <w:rPr>
                <w:rFonts w:ascii="宋体" w:hAnsi="宋体"/>
                <w:sz w:val="21"/>
                <w:szCs w:val="21"/>
              </w:rPr>
            </w:pPr>
            <w:r>
              <w:rPr>
                <w:rFonts w:ascii="宋体" w:hAnsi="宋体"/>
                <w:sz w:val="21"/>
                <w:szCs w:val="21"/>
              </w:rPr>
              <w:t>1.0625</w:t>
            </w:r>
          </w:p>
        </w:tc>
        <w:tc>
          <w:tcPr>
            <w:tcW w:w="763" w:type="dxa"/>
            <w:noWrap/>
            <w:tcMar>
              <w:left w:w="0" w:type="dxa"/>
              <w:right w:w="0" w:type="dxa"/>
            </w:tcMar>
            <w:vAlign w:val="center"/>
          </w:tcPr>
          <w:p w14:paraId="52BF30DB">
            <w:pPr>
              <w:pStyle w:val="39"/>
              <w:rPr>
                <w:rFonts w:ascii="宋体" w:hAnsi="宋体"/>
                <w:sz w:val="21"/>
                <w:szCs w:val="21"/>
              </w:rPr>
            </w:pPr>
            <w:r>
              <w:rPr>
                <w:rFonts w:ascii="宋体" w:hAnsi="宋体"/>
                <w:sz w:val="21"/>
                <w:szCs w:val="21"/>
              </w:rPr>
              <w:t>1.0129</w:t>
            </w:r>
          </w:p>
        </w:tc>
        <w:tc>
          <w:tcPr>
            <w:tcW w:w="763" w:type="dxa"/>
            <w:noWrap/>
            <w:tcMar>
              <w:left w:w="0" w:type="dxa"/>
              <w:right w:w="0" w:type="dxa"/>
            </w:tcMar>
            <w:vAlign w:val="center"/>
          </w:tcPr>
          <w:p w14:paraId="0BC21D80">
            <w:pPr>
              <w:pStyle w:val="39"/>
              <w:rPr>
                <w:rFonts w:ascii="宋体" w:hAnsi="宋体"/>
                <w:sz w:val="21"/>
                <w:szCs w:val="21"/>
              </w:rPr>
            </w:pPr>
            <w:r>
              <w:rPr>
                <w:rFonts w:ascii="宋体" w:hAnsi="宋体"/>
                <w:sz w:val="21"/>
                <w:szCs w:val="21"/>
              </w:rPr>
              <w:t>0.9683</w:t>
            </w:r>
          </w:p>
        </w:tc>
        <w:tc>
          <w:tcPr>
            <w:tcW w:w="763" w:type="dxa"/>
            <w:noWrap/>
            <w:tcMar>
              <w:left w:w="0" w:type="dxa"/>
              <w:right w:w="0" w:type="dxa"/>
            </w:tcMar>
            <w:vAlign w:val="center"/>
          </w:tcPr>
          <w:p w14:paraId="30F2661B">
            <w:pPr>
              <w:pStyle w:val="39"/>
              <w:rPr>
                <w:rFonts w:ascii="宋体" w:hAnsi="宋体"/>
                <w:sz w:val="21"/>
                <w:szCs w:val="21"/>
              </w:rPr>
            </w:pPr>
            <w:r>
              <w:rPr>
                <w:rFonts w:ascii="宋体" w:hAnsi="宋体"/>
                <w:sz w:val="21"/>
                <w:szCs w:val="21"/>
              </w:rPr>
              <w:t>0.9279</w:t>
            </w:r>
          </w:p>
        </w:tc>
        <w:tc>
          <w:tcPr>
            <w:tcW w:w="763" w:type="dxa"/>
            <w:noWrap/>
            <w:tcMar>
              <w:left w:w="0" w:type="dxa"/>
              <w:right w:w="0" w:type="dxa"/>
            </w:tcMar>
            <w:vAlign w:val="center"/>
          </w:tcPr>
          <w:p w14:paraId="5E43F2E6">
            <w:pPr>
              <w:pStyle w:val="39"/>
              <w:rPr>
                <w:rFonts w:ascii="宋体" w:hAnsi="宋体"/>
                <w:sz w:val="21"/>
                <w:szCs w:val="21"/>
              </w:rPr>
            </w:pPr>
            <w:r>
              <w:rPr>
                <w:rFonts w:ascii="宋体" w:hAnsi="宋体"/>
                <w:sz w:val="21"/>
                <w:szCs w:val="21"/>
              </w:rPr>
              <w:t>0.8909</w:t>
            </w:r>
          </w:p>
        </w:tc>
        <w:tc>
          <w:tcPr>
            <w:tcW w:w="763" w:type="dxa"/>
            <w:noWrap/>
            <w:tcMar>
              <w:left w:w="0" w:type="dxa"/>
              <w:right w:w="0" w:type="dxa"/>
            </w:tcMar>
            <w:vAlign w:val="center"/>
          </w:tcPr>
          <w:p w14:paraId="6FCA3A44">
            <w:pPr>
              <w:pStyle w:val="39"/>
              <w:rPr>
                <w:rFonts w:ascii="宋体" w:hAnsi="宋体"/>
                <w:sz w:val="21"/>
                <w:szCs w:val="21"/>
              </w:rPr>
            </w:pPr>
            <w:r>
              <w:rPr>
                <w:rFonts w:ascii="宋体" w:hAnsi="宋体"/>
                <w:sz w:val="21"/>
                <w:szCs w:val="21"/>
              </w:rPr>
              <w:t>0.8569</w:t>
            </w:r>
          </w:p>
        </w:tc>
        <w:tc>
          <w:tcPr>
            <w:tcW w:w="763" w:type="dxa"/>
            <w:noWrap/>
            <w:tcMar>
              <w:left w:w="0" w:type="dxa"/>
              <w:right w:w="0" w:type="dxa"/>
            </w:tcMar>
            <w:vAlign w:val="center"/>
          </w:tcPr>
          <w:p w14:paraId="3C2A454E">
            <w:pPr>
              <w:pStyle w:val="39"/>
              <w:rPr>
                <w:rFonts w:ascii="宋体" w:hAnsi="宋体"/>
                <w:sz w:val="21"/>
                <w:szCs w:val="21"/>
              </w:rPr>
            </w:pPr>
            <w:r>
              <w:rPr>
                <w:rFonts w:ascii="宋体" w:hAnsi="宋体"/>
                <w:sz w:val="21"/>
                <w:szCs w:val="21"/>
              </w:rPr>
              <w:t>0.8256</w:t>
            </w:r>
          </w:p>
        </w:tc>
        <w:tc>
          <w:tcPr>
            <w:tcW w:w="763" w:type="dxa"/>
            <w:noWrap/>
            <w:tcMar>
              <w:left w:w="0" w:type="dxa"/>
              <w:right w:w="0" w:type="dxa"/>
            </w:tcMar>
            <w:vAlign w:val="center"/>
          </w:tcPr>
          <w:p w14:paraId="3CB18BE4">
            <w:pPr>
              <w:pStyle w:val="39"/>
              <w:rPr>
                <w:rFonts w:ascii="宋体" w:hAnsi="宋体"/>
                <w:sz w:val="21"/>
                <w:szCs w:val="21"/>
              </w:rPr>
            </w:pPr>
            <w:r>
              <w:rPr>
                <w:rFonts w:ascii="宋体" w:hAnsi="宋体"/>
                <w:sz w:val="21"/>
                <w:szCs w:val="21"/>
              </w:rPr>
              <w:t>0.7965</w:t>
            </w:r>
          </w:p>
        </w:tc>
      </w:tr>
      <w:tr w14:paraId="2DAC0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64" w:type="dxa"/>
            <w:noWrap/>
            <w:tcMar>
              <w:left w:w="0" w:type="dxa"/>
              <w:right w:w="0" w:type="dxa"/>
            </w:tcMar>
            <w:vAlign w:val="center"/>
          </w:tcPr>
          <w:p w14:paraId="644E3A82">
            <w:pPr>
              <w:pStyle w:val="39"/>
              <w:rPr>
                <w:rFonts w:ascii="宋体" w:hAnsi="宋体"/>
                <w:sz w:val="21"/>
                <w:szCs w:val="21"/>
              </w:rPr>
            </w:pPr>
            <w:r>
              <w:rPr>
                <w:rFonts w:ascii="宋体" w:hAnsi="宋体"/>
                <w:sz w:val="21"/>
                <w:szCs w:val="21"/>
              </w:rPr>
              <w:t>0.75</w:t>
            </w:r>
          </w:p>
        </w:tc>
        <w:tc>
          <w:tcPr>
            <w:tcW w:w="764" w:type="dxa"/>
            <w:noWrap/>
            <w:tcMar>
              <w:left w:w="0" w:type="dxa"/>
              <w:right w:w="0" w:type="dxa"/>
            </w:tcMar>
            <w:vAlign w:val="center"/>
          </w:tcPr>
          <w:p w14:paraId="2827821E">
            <w:pPr>
              <w:pStyle w:val="39"/>
              <w:rPr>
                <w:rFonts w:ascii="宋体" w:hAnsi="宋体"/>
                <w:sz w:val="21"/>
                <w:szCs w:val="21"/>
              </w:rPr>
            </w:pPr>
            <w:r>
              <w:rPr>
                <w:rFonts w:ascii="宋体" w:hAnsi="宋体"/>
                <w:sz w:val="21"/>
                <w:szCs w:val="21"/>
              </w:rPr>
              <w:t>1.2306</w:t>
            </w:r>
          </w:p>
        </w:tc>
        <w:tc>
          <w:tcPr>
            <w:tcW w:w="764" w:type="dxa"/>
            <w:noWrap/>
            <w:tcMar>
              <w:left w:w="0" w:type="dxa"/>
              <w:right w:w="0" w:type="dxa"/>
            </w:tcMar>
            <w:vAlign w:val="center"/>
          </w:tcPr>
          <w:p w14:paraId="0EB7912B">
            <w:pPr>
              <w:pStyle w:val="39"/>
              <w:rPr>
                <w:rFonts w:ascii="宋体" w:hAnsi="宋体"/>
                <w:sz w:val="21"/>
                <w:szCs w:val="21"/>
              </w:rPr>
            </w:pPr>
            <w:r>
              <w:rPr>
                <w:rFonts w:ascii="宋体" w:hAnsi="宋体"/>
                <w:sz w:val="21"/>
                <w:szCs w:val="21"/>
              </w:rPr>
              <w:t>1.1667</w:t>
            </w:r>
          </w:p>
        </w:tc>
        <w:tc>
          <w:tcPr>
            <w:tcW w:w="764" w:type="dxa"/>
            <w:noWrap/>
            <w:tcMar>
              <w:left w:w="0" w:type="dxa"/>
              <w:right w:w="0" w:type="dxa"/>
            </w:tcMar>
            <w:vAlign w:val="center"/>
          </w:tcPr>
          <w:p w14:paraId="3348D10D">
            <w:pPr>
              <w:pStyle w:val="39"/>
              <w:rPr>
                <w:rFonts w:ascii="宋体" w:hAnsi="宋体"/>
                <w:sz w:val="21"/>
                <w:szCs w:val="21"/>
              </w:rPr>
            </w:pPr>
            <w:r>
              <w:rPr>
                <w:rFonts w:ascii="宋体" w:hAnsi="宋体"/>
                <w:sz w:val="21"/>
                <w:szCs w:val="21"/>
              </w:rPr>
              <w:t>1.1105</w:t>
            </w:r>
          </w:p>
        </w:tc>
        <w:tc>
          <w:tcPr>
            <w:tcW w:w="763" w:type="dxa"/>
            <w:noWrap/>
            <w:tcMar>
              <w:left w:w="0" w:type="dxa"/>
              <w:right w:w="0" w:type="dxa"/>
            </w:tcMar>
            <w:vAlign w:val="center"/>
          </w:tcPr>
          <w:p w14:paraId="0B889C91">
            <w:pPr>
              <w:pStyle w:val="39"/>
              <w:rPr>
                <w:rFonts w:ascii="宋体" w:hAnsi="宋体"/>
                <w:sz w:val="21"/>
                <w:szCs w:val="21"/>
              </w:rPr>
            </w:pPr>
            <w:r>
              <w:rPr>
                <w:rFonts w:ascii="宋体" w:hAnsi="宋体"/>
                <w:sz w:val="21"/>
                <w:szCs w:val="21"/>
              </w:rPr>
              <w:t>1.0605</w:t>
            </w:r>
          </w:p>
        </w:tc>
        <w:tc>
          <w:tcPr>
            <w:tcW w:w="763" w:type="dxa"/>
            <w:noWrap/>
            <w:tcMar>
              <w:left w:w="0" w:type="dxa"/>
              <w:right w:w="0" w:type="dxa"/>
            </w:tcMar>
            <w:vAlign w:val="center"/>
          </w:tcPr>
          <w:p w14:paraId="12EB2D09">
            <w:pPr>
              <w:pStyle w:val="39"/>
              <w:rPr>
                <w:rFonts w:ascii="宋体" w:hAnsi="宋体"/>
                <w:sz w:val="21"/>
                <w:szCs w:val="21"/>
              </w:rPr>
            </w:pPr>
            <w:r>
              <w:rPr>
                <w:rFonts w:ascii="宋体" w:hAnsi="宋体"/>
                <w:sz w:val="21"/>
                <w:szCs w:val="21"/>
              </w:rPr>
              <w:t>1.0156</w:t>
            </w:r>
          </w:p>
        </w:tc>
        <w:tc>
          <w:tcPr>
            <w:tcW w:w="763" w:type="dxa"/>
            <w:noWrap/>
            <w:tcMar>
              <w:left w:w="0" w:type="dxa"/>
              <w:right w:w="0" w:type="dxa"/>
            </w:tcMar>
            <w:vAlign w:val="center"/>
          </w:tcPr>
          <w:p w14:paraId="632B7B3F">
            <w:pPr>
              <w:pStyle w:val="39"/>
              <w:rPr>
                <w:rFonts w:ascii="宋体" w:hAnsi="宋体"/>
                <w:sz w:val="21"/>
                <w:szCs w:val="21"/>
              </w:rPr>
            </w:pPr>
            <w:r>
              <w:rPr>
                <w:rFonts w:ascii="宋体" w:hAnsi="宋体"/>
                <w:sz w:val="21"/>
                <w:szCs w:val="21"/>
              </w:rPr>
              <w:t>0.9748</w:t>
            </w:r>
          </w:p>
        </w:tc>
        <w:tc>
          <w:tcPr>
            <w:tcW w:w="763" w:type="dxa"/>
            <w:noWrap/>
            <w:tcMar>
              <w:left w:w="0" w:type="dxa"/>
              <w:right w:w="0" w:type="dxa"/>
            </w:tcMar>
            <w:vAlign w:val="center"/>
          </w:tcPr>
          <w:p w14:paraId="16241CF2">
            <w:pPr>
              <w:pStyle w:val="39"/>
              <w:rPr>
                <w:rFonts w:ascii="宋体" w:hAnsi="宋体"/>
                <w:sz w:val="21"/>
                <w:szCs w:val="21"/>
              </w:rPr>
            </w:pPr>
            <w:r>
              <w:rPr>
                <w:rFonts w:ascii="宋体" w:hAnsi="宋体"/>
                <w:sz w:val="21"/>
                <w:szCs w:val="21"/>
              </w:rPr>
              <w:t>0.9374</w:t>
            </w:r>
          </w:p>
        </w:tc>
        <w:tc>
          <w:tcPr>
            <w:tcW w:w="763" w:type="dxa"/>
            <w:noWrap/>
            <w:tcMar>
              <w:left w:w="0" w:type="dxa"/>
              <w:right w:w="0" w:type="dxa"/>
            </w:tcMar>
            <w:vAlign w:val="center"/>
          </w:tcPr>
          <w:p w14:paraId="02772977">
            <w:pPr>
              <w:pStyle w:val="39"/>
              <w:rPr>
                <w:rFonts w:ascii="宋体" w:hAnsi="宋体"/>
                <w:sz w:val="21"/>
                <w:szCs w:val="21"/>
              </w:rPr>
            </w:pPr>
            <w:r>
              <w:rPr>
                <w:rFonts w:ascii="宋体" w:hAnsi="宋体"/>
                <w:sz w:val="21"/>
                <w:szCs w:val="21"/>
              </w:rPr>
              <w:t>0.9030</w:t>
            </w:r>
          </w:p>
        </w:tc>
        <w:tc>
          <w:tcPr>
            <w:tcW w:w="763" w:type="dxa"/>
            <w:noWrap/>
            <w:tcMar>
              <w:left w:w="0" w:type="dxa"/>
              <w:right w:w="0" w:type="dxa"/>
            </w:tcMar>
            <w:vAlign w:val="center"/>
          </w:tcPr>
          <w:p w14:paraId="307E5A87">
            <w:pPr>
              <w:pStyle w:val="39"/>
              <w:rPr>
                <w:rFonts w:ascii="宋体" w:hAnsi="宋体"/>
                <w:sz w:val="21"/>
                <w:szCs w:val="21"/>
              </w:rPr>
            </w:pPr>
            <w:r>
              <w:rPr>
                <w:rFonts w:ascii="宋体" w:hAnsi="宋体"/>
                <w:sz w:val="21"/>
                <w:szCs w:val="21"/>
              </w:rPr>
              <w:t>0.8712</w:t>
            </w:r>
          </w:p>
        </w:tc>
        <w:tc>
          <w:tcPr>
            <w:tcW w:w="763" w:type="dxa"/>
            <w:noWrap/>
            <w:tcMar>
              <w:left w:w="0" w:type="dxa"/>
              <w:right w:w="0" w:type="dxa"/>
            </w:tcMar>
            <w:vAlign w:val="center"/>
          </w:tcPr>
          <w:p w14:paraId="7A63AB88">
            <w:pPr>
              <w:pStyle w:val="39"/>
              <w:rPr>
                <w:rFonts w:ascii="宋体" w:hAnsi="宋体"/>
                <w:sz w:val="21"/>
                <w:szCs w:val="21"/>
              </w:rPr>
            </w:pPr>
            <w:r>
              <w:rPr>
                <w:rFonts w:ascii="宋体" w:hAnsi="宋体"/>
                <w:sz w:val="21"/>
                <w:szCs w:val="21"/>
              </w:rPr>
              <w:t>0.8415</w:t>
            </w:r>
          </w:p>
        </w:tc>
        <w:tc>
          <w:tcPr>
            <w:tcW w:w="763" w:type="dxa"/>
            <w:noWrap/>
            <w:tcMar>
              <w:left w:w="0" w:type="dxa"/>
              <w:right w:w="0" w:type="dxa"/>
            </w:tcMar>
            <w:vAlign w:val="center"/>
          </w:tcPr>
          <w:p w14:paraId="5CB883FB">
            <w:pPr>
              <w:pStyle w:val="39"/>
              <w:rPr>
                <w:rFonts w:ascii="宋体" w:hAnsi="宋体"/>
                <w:sz w:val="21"/>
                <w:szCs w:val="21"/>
              </w:rPr>
            </w:pPr>
            <w:r>
              <w:rPr>
                <w:rFonts w:ascii="宋体" w:hAnsi="宋体"/>
                <w:sz w:val="21"/>
                <w:szCs w:val="21"/>
              </w:rPr>
              <w:t>0.8139</w:t>
            </w:r>
          </w:p>
        </w:tc>
      </w:tr>
      <w:tr w14:paraId="795A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64" w:type="dxa"/>
            <w:noWrap/>
            <w:tcMar>
              <w:left w:w="0" w:type="dxa"/>
              <w:right w:w="0" w:type="dxa"/>
            </w:tcMar>
            <w:vAlign w:val="center"/>
          </w:tcPr>
          <w:p w14:paraId="3C695070">
            <w:pPr>
              <w:pStyle w:val="39"/>
              <w:rPr>
                <w:rFonts w:ascii="宋体" w:hAnsi="宋体"/>
                <w:sz w:val="21"/>
                <w:szCs w:val="21"/>
              </w:rPr>
            </w:pPr>
            <w:r>
              <w:rPr>
                <w:rFonts w:ascii="宋体" w:hAnsi="宋体"/>
                <w:sz w:val="21"/>
                <w:szCs w:val="21"/>
              </w:rPr>
              <w:t>0.80</w:t>
            </w:r>
          </w:p>
        </w:tc>
        <w:tc>
          <w:tcPr>
            <w:tcW w:w="764" w:type="dxa"/>
            <w:noWrap/>
            <w:tcMar>
              <w:left w:w="0" w:type="dxa"/>
              <w:right w:w="0" w:type="dxa"/>
            </w:tcMar>
            <w:vAlign w:val="center"/>
          </w:tcPr>
          <w:p w14:paraId="2F3FB7C6">
            <w:pPr>
              <w:pStyle w:val="39"/>
              <w:rPr>
                <w:rFonts w:ascii="宋体" w:hAnsi="宋体"/>
                <w:sz w:val="21"/>
                <w:szCs w:val="21"/>
              </w:rPr>
            </w:pPr>
            <w:r>
              <w:rPr>
                <w:rFonts w:ascii="宋体" w:hAnsi="宋体"/>
                <w:sz w:val="21"/>
                <w:szCs w:val="21"/>
              </w:rPr>
              <w:t>1.1971</w:t>
            </w:r>
          </w:p>
        </w:tc>
        <w:tc>
          <w:tcPr>
            <w:tcW w:w="764" w:type="dxa"/>
            <w:noWrap/>
            <w:tcMar>
              <w:left w:w="0" w:type="dxa"/>
              <w:right w:w="0" w:type="dxa"/>
            </w:tcMar>
            <w:vAlign w:val="center"/>
          </w:tcPr>
          <w:p w14:paraId="3A79EDAA">
            <w:pPr>
              <w:pStyle w:val="39"/>
              <w:rPr>
                <w:rFonts w:ascii="宋体" w:hAnsi="宋体"/>
                <w:sz w:val="21"/>
                <w:szCs w:val="21"/>
              </w:rPr>
            </w:pPr>
            <w:r>
              <w:rPr>
                <w:rFonts w:ascii="宋体" w:hAnsi="宋体"/>
                <w:sz w:val="21"/>
                <w:szCs w:val="21"/>
              </w:rPr>
              <w:t>1.1428</w:t>
            </w:r>
          </w:p>
        </w:tc>
        <w:tc>
          <w:tcPr>
            <w:tcW w:w="764" w:type="dxa"/>
            <w:noWrap/>
            <w:tcMar>
              <w:left w:w="0" w:type="dxa"/>
              <w:right w:w="0" w:type="dxa"/>
            </w:tcMar>
            <w:vAlign w:val="center"/>
          </w:tcPr>
          <w:p w14:paraId="729F5837">
            <w:pPr>
              <w:pStyle w:val="39"/>
              <w:rPr>
                <w:rFonts w:ascii="宋体" w:hAnsi="宋体"/>
                <w:sz w:val="21"/>
                <w:szCs w:val="21"/>
              </w:rPr>
            </w:pPr>
            <w:r>
              <w:rPr>
                <w:rFonts w:ascii="宋体" w:hAnsi="宋体"/>
                <w:sz w:val="21"/>
                <w:szCs w:val="21"/>
              </w:rPr>
              <w:t>1.0946</w:t>
            </w:r>
          </w:p>
        </w:tc>
        <w:tc>
          <w:tcPr>
            <w:tcW w:w="763" w:type="dxa"/>
            <w:noWrap/>
            <w:tcMar>
              <w:left w:w="0" w:type="dxa"/>
              <w:right w:w="0" w:type="dxa"/>
            </w:tcMar>
            <w:vAlign w:val="center"/>
          </w:tcPr>
          <w:p w14:paraId="66081E6E">
            <w:pPr>
              <w:pStyle w:val="39"/>
              <w:rPr>
                <w:rFonts w:ascii="宋体" w:hAnsi="宋体"/>
                <w:sz w:val="21"/>
                <w:szCs w:val="21"/>
              </w:rPr>
            </w:pPr>
            <w:r>
              <w:rPr>
                <w:rFonts w:ascii="宋体" w:hAnsi="宋体"/>
                <w:sz w:val="21"/>
                <w:szCs w:val="21"/>
              </w:rPr>
              <w:t>1.0514</w:t>
            </w:r>
          </w:p>
        </w:tc>
        <w:tc>
          <w:tcPr>
            <w:tcW w:w="763" w:type="dxa"/>
            <w:noWrap/>
            <w:tcMar>
              <w:left w:w="0" w:type="dxa"/>
              <w:right w:w="0" w:type="dxa"/>
            </w:tcMar>
            <w:vAlign w:val="center"/>
          </w:tcPr>
          <w:p w14:paraId="608443E4">
            <w:pPr>
              <w:pStyle w:val="39"/>
              <w:rPr>
                <w:rFonts w:ascii="宋体" w:hAnsi="宋体"/>
                <w:sz w:val="21"/>
                <w:szCs w:val="21"/>
              </w:rPr>
            </w:pPr>
            <w:r>
              <w:rPr>
                <w:rFonts w:ascii="宋体" w:hAnsi="宋体"/>
                <w:sz w:val="21"/>
                <w:szCs w:val="21"/>
              </w:rPr>
              <w:t>1.0120</w:t>
            </w:r>
          </w:p>
        </w:tc>
        <w:tc>
          <w:tcPr>
            <w:tcW w:w="763" w:type="dxa"/>
            <w:noWrap/>
            <w:tcMar>
              <w:left w:w="0" w:type="dxa"/>
              <w:right w:w="0" w:type="dxa"/>
            </w:tcMar>
            <w:vAlign w:val="center"/>
          </w:tcPr>
          <w:p w14:paraId="4D2D6B2D">
            <w:pPr>
              <w:pStyle w:val="39"/>
              <w:rPr>
                <w:rFonts w:ascii="宋体" w:hAnsi="宋体"/>
                <w:sz w:val="21"/>
                <w:szCs w:val="21"/>
              </w:rPr>
            </w:pPr>
            <w:r>
              <w:rPr>
                <w:rFonts w:ascii="宋体" w:hAnsi="宋体"/>
                <w:sz w:val="21"/>
                <w:szCs w:val="21"/>
              </w:rPr>
              <w:t>0.9757</w:t>
            </w:r>
          </w:p>
        </w:tc>
        <w:tc>
          <w:tcPr>
            <w:tcW w:w="763" w:type="dxa"/>
            <w:noWrap/>
            <w:tcMar>
              <w:left w:w="0" w:type="dxa"/>
              <w:right w:w="0" w:type="dxa"/>
            </w:tcMar>
            <w:vAlign w:val="center"/>
          </w:tcPr>
          <w:p w14:paraId="62758605">
            <w:pPr>
              <w:pStyle w:val="39"/>
              <w:rPr>
                <w:rFonts w:ascii="宋体" w:hAnsi="宋体"/>
                <w:sz w:val="21"/>
                <w:szCs w:val="21"/>
              </w:rPr>
            </w:pPr>
            <w:r>
              <w:rPr>
                <w:rFonts w:ascii="宋体" w:hAnsi="宋体"/>
                <w:sz w:val="21"/>
                <w:szCs w:val="21"/>
              </w:rPr>
              <w:t>0.9421</w:t>
            </w:r>
          </w:p>
        </w:tc>
        <w:tc>
          <w:tcPr>
            <w:tcW w:w="763" w:type="dxa"/>
            <w:noWrap/>
            <w:tcMar>
              <w:left w:w="0" w:type="dxa"/>
              <w:right w:w="0" w:type="dxa"/>
            </w:tcMar>
            <w:vAlign w:val="center"/>
          </w:tcPr>
          <w:p w14:paraId="51A36481">
            <w:pPr>
              <w:pStyle w:val="39"/>
              <w:rPr>
                <w:rFonts w:ascii="宋体" w:hAnsi="宋体"/>
                <w:sz w:val="21"/>
                <w:szCs w:val="21"/>
              </w:rPr>
            </w:pPr>
            <w:r>
              <w:rPr>
                <w:rFonts w:ascii="宋体" w:hAnsi="宋体"/>
                <w:sz w:val="21"/>
                <w:szCs w:val="21"/>
              </w:rPr>
              <w:t>0.9108</w:t>
            </w:r>
          </w:p>
        </w:tc>
        <w:tc>
          <w:tcPr>
            <w:tcW w:w="763" w:type="dxa"/>
            <w:noWrap/>
            <w:tcMar>
              <w:left w:w="0" w:type="dxa"/>
              <w:right w:w="0" w:type="dxa"/>
            </w:tcMar>
            <w:vAlign w:val="center"/>
          </w:tcPr>
          <w:p w14:paraId="045377EB">
            <w:pPr>
              <w:pStyle w:val="39"/>
              <w:rPr>
                <w:rFonts w:ascii="宋体" w:hAnsi="宋体"/>
                <w:sz w:val="21"/>
                <w:szCs w:val="21"/>
              </w:rPr>
            </w:pPr>
            <w:r>
              <w:rPr>
                <w:rFonts w:ascii="宋体" w:hAnsi="宋体"/>
                <w:sz w:val="21"/>
                <w:szCs w:val="21"/>
              </w:rPr>
              <w:t>0.8814</w:t>
            </w:r>
          </w:p>
        </w:tc>
        <w:tc>
          <w:tcPr>
            <w:tcW w:w="763" w:type="dxa"/>
            <w:noWrap/>
            <w:tcMar>
              <w:left w:w="0" w:type="dxa"/>
              <w:right w:w="0" w:type="dxa"/>
            </w:tcMar>
            <w:vAlign w:val="center"/>
          </w:tcPr>
          <w:p w14:paraId="112C17B0">
            <w:pPr>
              <w:pStyle w:val="39"/>
              <w:rPr>
                <w:rFonts w:ascii="宋体" w:hAnsi="宋体"/>
                <w:sz w:val="21"/>
                <w:szCs w:val="21"/>
              </w:rPr>
            </w:pPr>
            <w:r>
              <w:rPr>
                <w:rFonts w:ascii="宋体" w:hAnsi="宋体"/>
                <w:sz w:val="21"/>
                <w:szCs w:val="21"/>
              </w:rPr>
              <w:t>0.8539</w:t>
            </w:r>
          </w:p>
        </w:tc>
        <w:tc>
          <w:tcPr>
            <w:tcW w:w="763" w:type="dxa"/>
            <w:noWrap/>
            <w:tcMar>
              <w:left w:w="0" w:type="dxa"/>
              <w:right w:w="0" w:type="dxa"/>
            </w:tcMar>
            <w:vAlign w:val="center"/>
          </w:tcPr>
          <w:p w14:paraId="63957FF2">
            <w:pPr>
              <w:pStyle w:val="39"/>
              <w:rPr>
                <w:rFonts w:ascii="宋体" w:hAnsi="宋体"/>
                <w:sz w:val="21"/>
                <w:szCs w:val="21"/>
              </w:rPr>
            </w:pPr>
            <w:r>
              <w:rPr>
                <w:rFonts w:ascii="宋体" w:hAnsi="宋体"/>
                <w:sz w:val="21"/>
                <w:szCs w:val="21"/>
              </w:rPr>
              <w:t>0.8279</w:t>
            </w:r>
          </w:p>
        </w:tc>
      </w:tr>
      <w:tr w14:paraId="28CF3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64" w:type="dxa"/>
            <w:noWrap/>
            <w:tcMar>
              <w:left w:w="0" w:type="dxa"/>
              <w:right w:w="0" w:type="dxa"/>
            </w:tcMar>
            <w:vAlign w:val="center"/>
          </w:tcPr>
          <w:p w14:paraId="181F4A85">
            <w:pPr>
              <w:pStyle w:val="39"/>
              <w:rPr>
                <w:rFonts w:ascii="宋体" w:hAnsi="宋体"/>
                <w:sz w:val="21"/>
                <w:szCs w:val="21"/>
              </w:rPr>
            </w:pPr>
            <w:r>
              <w:rPr>
                <w:rFonts w:ascii="宋体" w:hAnsi="宋体"/>
                <w:sz w:val="21"/>
                <w:szCs w:val="21"/>
              </w:rPr>
              <w:t>0.85</w:t>
            </w:r>
          </w:p>
        </w:tc>
        <w:tc>
          <w:tcPr>
            <w:tcW w:w="764" w:type="dxa"/>
            <w:noWrap/>
            <w:tcMar>
              <w:left w:w="0" w:type="dxa"/>
              <w:right w:w="0" w:type="dxa"/>
            </w:tcMar>
            <w:vAlign w:val="center"/>
          </w:tcPr>
          <w:p w14:paraId="037A8332">
            <w:pPr>
              <w:pStyle w:val="39"/>
              <w:rPr>
                <w:rFonts w:ascii="宋体" w:hAnsi="宋体"/>
                <w:sz w:val="21"/>
                <w:szCs w:val="21"/>
              </w:rPr>
            </w:pPr>
            <w:r>
              <w:rPr>
                <w:rFonts w:ascii="宋体" w:hAnsi="宋体"/>
                <w:sz w:val="21"/>
                <w:szCs w:val="21"/>
              </w:rPr>
              <w:t>1.1541</w:t>
            </w:r>
          </w:p>
        </w:tc>
        <w:tc>
          <w:tcPr>
            <w:tcW w:w="764" w:type="dxa"/>
            <w:noWrap/>
            <w:tcMar>
              <w:left w:w="0" w:type="dxa"/>
              <w:right w:w="0" w:type="dxa"/>
            </w:tcMar>
            <w:vAlign w:val="center"/>
          </w:tcPr>
          <w:p w14:paraId="0E07D575">
            <w:pPr>
              <w:pStyle w:val="39"/>
              <w:rPr>
                <w:rFonts w:ascii="宋体" w:hAnsi="宋体"/>
                <w:sz w:val="21"/>
                <w:szCs w:val="21"/>
              </w:rPr>
            </w:pPr>
            <w:r>
              <w:rPr>
                <w:rFonts w:ascii="宋体" w:hAnsi="宋体"/>
                <w:sz w:val="21"/>
                <w:szCs w:val="21"/>
              </w:rPr>
              <w:t>1.1111</w:t>
            </w:r>
          </w:p>
        </w:tc>
        <w:tc>
          <w:tcPr>
            <w:tcW w:w="764" w:type="dxa"/>
            <w:noWrap/>
            <w:tcMar>
              <w:left w:w="0" w:type="dxa"/>
              <w:right w:w="0" w:type="dxa"/>
            </w:tcMar>
            <w:vAlign w:val="center"/>
          </w:tcPr>
          <w:p w14:paraId="5D949722">
            <w:pPr>
              <w:pStyle w:val="39"/>
              <w:rPr>
                <w:rFonts w:ascii="宋体" w:hAnsi="宋体"/>
                <w:sz w:val="21"/>
                <w:szCs w:val="21"/>
              </w:rPr>
            </w:pPr>
            <w:r>
              <w:rPr>
                <w:rFonts w:ascii="宋体" w:hAnsi="宋体"/>
                <w:sz w:val="21"/>
                <w:szCs w:val="21"/>
              </w:rPr>
              <w:t>1.0724</w:t>
            </w:r>
          </w:p>
        </w:tc>
        <w:tc>
          <w:tcPr>
            <w:tcW w:w="763" w:type="dxa"/>
            <w:noWrap/>
            <w:tcMar>
              <w:left w:w="0" w:type="dxa"/>
              <w:right w:w="0" w:type="dxa"/>
            </w:tcMar>
            <w:vAlign w:val="center"/>
          </w:tcPr>
          <w:p w14:paraId="2876E4F2">
            <w:pPr>
              <w:pStyle w:val="39"/>
              <w:rPr>
                <w:rFonts w:ascii="宋体" w:hAnsi="宋体"/>
                <w:sz w:val="21"/>
                <w:szCs w:val="21"/>
              </w:rPr>
            </w:pPr>
            <w:r>
              <w:rPr>
                <w:rFonts w:ascii="宋体" w:hAnsi="宋体"/>
                <w:sz w:val="21"/>
                <w:szCs w:val="21"/>
              </w:rPr>
              <w:t>1.0368</w:t>
            </w:r>
          </w:p>
        </w:tc>
        <w:tc>
          <w:tcPr>
            <w:tcW w:w="763" w:type="dxa"/>
            <w:noWrap/>
            <w:tcMar>
              <w:left w:w="0" w:type="dxa"/>
              <w:right w:w="0" w:type="dxa"/>
            </w:tcMar>
            <w:vAlign w:val="center"/>
          </w:tcPr>
          <w:p w14:paraId="7439D979">
            <w:pPr>
              <w:pStyle w:val="39"/>
              <w:rPr>
                <w:rFonts w:ascii="宋体" w:hAnsi="宋体"/>
                <w:sz w:val="21"/>
                <w:szCs w:val="21"/>
              </w:rPr>
            </w:pPr>
            <w:r>
              <w:rPr>
                <w:rFonts w:ascii="宋体" w:hAnsi="宋体"/>
                <w:sz w:val="21"/>
                <w:szCs w:val="21"/>
              </w:rPr>
              <w:t>1.0036</w:t>
            </w:r>
          </w:p>
        </w:tc>
        <w:tc>
          <w:tcPr>
            <w:tcW w:w="763" w:type="dxa"/>
            <w:noWrap/>
            <w:tcMar>
              <w:left w:w="0" w:type="dxa"/>
              <w:right w:w="0" w:type="dxa"/>
            </w:tcMar>
            <w:vAlign w:val="center"/>
          </w:tcPr>
          <w:p w14:paraId="6A58F4AF">
            <w:pPr>
              <w:pStyle w:val="39"/>
              <w:rPr>
                <w:rFonts w:ascii="宋体" w:hAnsi="宋体"/>
                <w:sz w:val="21"/>
                <w:szCs w:val="21"/>
              </w:rPr>
            </w:pPr>
            <w:r>
              <w:rPr>
                <w:rFonts w:ascii="宋体" w:hAnsi="宋体"/>
                <w:sz w:val="21"/>
                <w:szCs w:val="21"/>
              </w:rPr>
              <w:t>0.9725</w:t>
            </w:r>
          </w:p>
        </w:tc>
        <w:tc>
          <w:tcPr>
            <w:tcW w:w="763" w:type="dxa"/>
            <w:noWrap/>
            <w:tcMar>
              <w:left w:w="0" w:type="dxa"/>
              <w:right w:w="0" w:type="dxa"/>
            </w:tcMar>
            <w:vAlign w:val="center"/>
          </w:tcPr>
          <w:p w14:paraId="71AFD5FB">
            <w:pPr>
              <w:pStyle w:val="39"/>
              <w:rPr>
                <w:rFonts w:ascii="宋体" w:hAnsi="宋体"/>
                <w:sz w:val="21"/>
                <w:szCs w:val="21"/>
              </w:rPr>
            </w:pPr>
            <w:r>
              <w:rPr>
                <w:rFonts w:ascii="宋体" w:hAnsi="宋体"/>
                <w:sz w:val="21"/>
                <w:szCs w:val="21"/>
              </w:rPr>
              <w:t>0.9430</w:t>
            </w:r>
          </w:p>
        </w:tc>
        <w:tc>
          <w:tcPr>
            <w:tcW w:w="763" w:type="dxa"/>
            <w:noWrap/>
            <w:tcMar>
              <w:left w:w="0" w:type="dxa"/>
              <w:right w:w="0" w:type="dxa"/>
            </w:tcMar>
            <w:vAlign w:val="center"/>
          </w:tcPr>
          <w:p w14:paraId="01B0FA6B">
            <w:pPr>
              <w:pStyle w:val="39"/>
              <w:rPr>
                <w:rFonts w:ascii="宋体" w:hAnsi="宋体"/>
                <w:sz w:val="21"/>
                <w:szCs w:val="21"/>
              </w:rPr>
            </w:pPr>
            <w:r>
              <w:rPr>
                <w:rFonts w:ascii="宋体" w:hAnsi="宋体"/>
                <w:sz w:val="21"/>
                <w:szCs w:val="21"/>
              </w:rPr>
              <w:t>0.9150</w:t>
            </w:r>
          </w:p>
        </w:tc>
        <w:tc>
          <w:tcPr>
            <w:tcW w:w="763" w:type="dxa"/>
            <w:noWrap/>
            <w:tcMar>
              <w:left w:w="0" w:type="dxa"/>
              <w:right w:w="0" w:type="dxa"/>
            </w:tcMar>
            <w:vAlign w:val="center"/>
          </w:tcPr>
          <w:p w14:paraId="7D8394A3">
            <w:pPr>
              <w:pStyle w:val="39"/>
              <w:rPr>
                <w:rFonts w:ascii="宋体" w:hAnsi="宋体"/>
                <w:sz w:val="21"/>
                <w:szCs w:val="21"/>
              </w:rPr>
            </w:pPr>
            <w:r>
              <w:rPr>
                <w:rFonts w:ascii="宋体" w:hAnsi="宋体"/>
                <w:sz w:val="21"/>
                <w:szCs w:val="21"/>
              </w:rPr>
              <w:t>0.8885</w:t>
            </w:r>
          </w:p>
        </w:tc>
        <w:tc>
          <w:tcPr>
            <w:tcW w:w="763" w:type="dxa"/>
            <w:noWrap/>
            <w:tcMar>
              <w:left w:w="0" w:type="dxa"/>
              <w:right w:w="0" w:type="dxa"/>
            </w:tcMar>
            <w:vAlign w:val="center"/>
          </w:tcPr>
          <w:p w14:paraId="3BEA3325">
            <w:pPr>
              <w:pStyle w:val="39"/>
              <w:rPr>
                <w:rFonts w:ascii="宋体" w:hAnsi="宋体"/>
                <w:sz w:val="21"/>
                <w:szCs w:val="21"/>
              </w:rPr>
            </w:pPr>
            <w:r>
              <w:rPr>
                <w:rFonts w:ascii="宋体" w:hAnsi="宋体"/>
                <w:sz w:val="21"/>
                <w:szCs w:val="21"/>
              </w:rPr>
              <w:t>0.8632</w:t>
            </w:r>
          </w:p>
        </w:tc>
        <w:tc>
          <w:tcPr>
            <w:tcW w:w="763" w:type="dxa"/>
            <w:noWrap/>
            <w:tcMar>
              <w:left w:w="0" w:type="dxa"/>
              <w:right w:w="0" w:type="dxa"/>
            </w:tcMar>
            <w:vAlign w:val="center"/>
          </w:tcPr>
          <w:p w14:paraId="22B8DBA6">
            <w:pPr>
              <w:pStyle w:val="39"/>
              <w:rPr>
                <w:rFonts w:ascii="宋体" w:hAnsi="宋体"/>
                <w:sz w:val="21"/>
                <w:szCs w:val="21"/>
              </w:rPr>
            </w:pPr>
            <w:r>
              <w:rPr>
                <w:rFonts w:ascii="宋体" w:hAnsi="宋体"/>
                <w:sz w:val="21"/>
                <w:szCs w:val="21"/>
              </w:rPr>
              <w:t>0.8391</w:t>
            </w:r>
          </w:p>
        </w:tc>
      </w:tr>
      <w:tr w14:paraId="7B1C0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64" w:type="dxa"/>
            <w:noWrap/>
            <w:tcMar>
              <w:left w:w="0" w:type="dxa"/>
              <w:right w:w="0" w:type="dxa"/>
            </w:tcMar>
            <w:vAlign w:val="center"/>
          </w:tcPr>
          <w:p w14:paraId="301F65AE">
            <w:pPr>
              <w:pStyle w:val="39"/>
              <w:rPr>
                <w:rFonts w:ascii="宋体" w:hAnsi="宋体"/>
                <w:sz w:val="21"/>
                <w:szCs w:val="21"/>
              </w:rPr>
            </w:pPr>
            <w:r>
              <w:rPr>
                <w:rFonts w:ascii="宋体" w:hAnsi="宋体"/>
                <w:sz w:val="21"/>
                <w:szCs w:val="21"/>
              </w:rPr>
              <w:t>0.90</w:t>
            </w:r>
          </w:p>
        </w:tc>
        <w:tc>
          <w:tcPr>
            <w:tcW w:w="764" w:type="dxa"/>
            <w:noWrap/>
            <w:tcMar>
              <w:left w:w="0" w:type="dxa"/>
              <w:right w:w="0" w:type="dxa"/>
            </w:tcMar>
            <w:vAlign w:val="center"/>
          </w:tcPr>
          <w:p w14:paraId="3F8C8BFE">
            <w:pPr>
              <w:pStyle w:val="39"/>
              <w:rPr>
                <w:rFonts w:ascii="宋体" w:hAnsi="宋体"/>
                <w:sz w:val="21"/>
                <w:szCs w:val="21"/>
              </w:rPr>
            </w:pPr>
            <w:r>
              <w:rPr>
                <w:rFonts w:ascii="宋体" w:hAnsi="宋体"/>
                <w:sz w:val="21"/>
                <w:szCs w:val="21"/>
              </w:rPr>
              <w:t>1.1045</w:t>
            </w:r>
          </w:p>
        </w:tc>
        <w:tc>
          <w:tcPr>
            <w:tcW w:w="764" w:type="dxa"/>
            <w:noWrap/>
            <w:tcMar>
              <w:left w:w="0" w:type="dxa"/>
              <w:right w:w="0" w:type="dxa"/>
            </w:tcMar>
            <w:vAlign w:val="center"/>
          </w:tcPr>
          <w:p w14:paraId="0DE36991">
            <w:pPr>
              <w:pStyle w:val="39"/>
              <w:rPr>
                <w:rFonts w:ascii="宋体" w:hAnsi="宋体"/>
                <w:sz w:val="21"/>
                <w:szCs w:val="21"/>
              </w:rPr>
            </w:pPr>
            <w:r>
              <w:rPr>
                <w:rFonts w:ascii="宋体" w:hAnsi="宋体"/>
                <w:sz w:val="21"/>
                <w:szCs w:val="21"/>
              </w:rPr>
              <w:t>1.0744</w:t>
            </w:r>
          </w:p>
        </w:tc>
        <w:tc>
          <w:tcPr>
            <w:tcW w:w="764" w:type="dxa"/>
            <w:noWrap/>
            <w:tcMar>
              <w:left w:w="0" w:type="dxa"/>
              <w:right w:w="0" w:type="dxa"/>
            </w:tcMar>
            <w:vAlign w:val="center"/>
          </w:tcPr>
          <w:p w14:paraId="68558E6E">
            <w:pPr>
              <w:pStyle w:val="39"/>
              <w:rPr>
                <w:rFonts w:ascii="宋体" w:hAnsi="宋体"/>
                <w:sz w:val="21"/>
                <w:szCs w:val="21"/>
              </w:rPr>
            </w:pPr>
            <w:r>
              <w:rPr>
                <w:rFonts w:ascii="宋体" w:hAnsi="宋体"/>
                <w:sz w:val="21"/>
                <w:szCs w:val="21"/>
              </w:rPr>
              <w:t>1.0460</w:t>
            </w:r>
          </w:p>
        </w:tc>
        <w:tc>
          <w:tcPr>
            <w:tcW w:w="763" w:type="dxa"/>
            <w:noWrap/>
            <w:tcMar>
              <w:left w:w="0" w:type="dxa"/>
              <w:right w:w="0" w:type="dxa"/>
            </w:tcMar>
            <w:vAlign w:val="center"/>
          </w:tcPr>
          <w:p w14:paraId="3545F8FD">
            <w:pPr>
              <w:pStyle w:val="39"/>
              <w:rPr>
                <w:rFonts w:ascii="宋体" w:hAnsi="宋体"/>
                <w:sz w:val="21"/>
                <w:szCs w:val="21"/>
              </w:rPr>
            </w:pPr>
            <w:r>
              <w:rPr>
                <w:rFonts w:ascii="宋体" w:hAnsi="宋体"/>
                <w:sz w:val="21"/>
                <w:szCs w:val="21"/>
              </w:rPr>
              <w:t>1.0187</w:t>
            </w:r>
          </w:p>
        </w:tc>
        <w:tc>
          <w:tcPr>
            <w:tcW w:w="763" w:type="dxa"/>
            <w:noWrap/>
            <w:tcMar>
              <w:left w:w="0" w:type="dxa"/>
              <w:right w:w="0" w:type="dxa"/>
            </w:tcMar>
            <w:vAlign w:val="center"/>
          </w:tcPr>
          <w:p w14:paraId="586DD262">
            <w:pPr>
              <w:pStyle w:val="39"/>
              <w:rPr>
                <w:rFonts w:ascii="宋体" w:hAnsi="宋体"/>
                <w:sz w:val="21"/>
                <w:szCs w:val="21"/>
              </w:rPr>
            </w:pPr>
            <w:r>
              <w:rPr>
                <w:rFonts w:ascii="宋体" w:hAnsi="宋体"/>
                <w:sz w:val="21"/>
                <w:szCs w:val="21"/>
              </w:rPr>
              <w:t>0.9923</w:t>
            </w:r>
          </w:p>
        </w:tc>
        <w:tc>
          <w:tcPr>
            <w:tcW w:w="763" w:type="dxa"/>
            <w:noWrap/>
            <w:tcMar>
              <w:left w:w="0" w:type="dxa"/>
              <w:right w:w="0" w:type="dxa"/>
            </w:tcMar>
            <w:vAlign w:val="center"/>
          </w:tcPr>
          <w:p w14:paraId="082CD697">
            <w:pPr>
              <w:pStyle w:val="39"/>
              <w:rPr>
                <w:rFonts w:ascii="宋体" w:hAnsi="宋体"/>
                <w:sz w:val="21"/>
                <w:szCs w:val="21"/>
              </w:rPr>
            </w:pPr>
            <w:r>
              <w:rPr>
                <w:rFonts w:ascii="宋体" w:hAnsi="宋体"/>
                <w:sz w:val="21"/>
                <w:szCs w:val="21"/>
              </w:rPr>
              <w:t>0.9664</w:t>
            </w:r>
          </w:p>
        </w:tc>
        <w:tc>
          <w:tcPr>
            <w:tcW w:w="763" w:type="dxa"/>
            <w:noWrap/>
            <w:tcMar>
              <w:left w:w="0" w:type="dxa"/>
              <w:right w:w="0" w:type="dxa"/>
            </w:tcMar>
            <w:vAlign w:val="center"/>
          </w:tcPr>
          <w:p w14:paraId="3B31224B">
            <w:pPr>
              <w:pStyle w:val="39"/>
              <w:rPr>
                <w:rFonts w:ascii="宋体" w:hAnsi="宋体"/>
                <w:sz w:val="21"/>
                <w:szCs w:val="21"/>
              </w:rPr>
            </w:pPr>
            <w:r>
              <w:rPr>
                <w:rFonts w:ascii="宋体" w:hAnsi="宋体"/>
                <w:sz w:val="21"/>
                <w:szCs w:val="21"/>
              </w:rPr>
              <w:t>0.9413</w:t>
            </w:r>
          </w:p>
        </w:tc>
        <w:tc>
          <w:tcPr>
            <w:tcW w:w="763" w:type="dxa"/>
            <w:noWrap/>
            <w:tcMar>
              <w:left w:w="0" w:type="dxa"/>
              <w:right w:w="0" w:type="dxa"/>
            </w:tcMar>
            <w:vAlign w:val="center"/>
          </w:tcPr>
          <w:p w14:paraId="66FD5D01">
            <w:pPr>
              <w:pStyle w:val="39"/>
              <w:rPr>
                <w:rFonts w:ascii="宋体" w:hAnsi="宋体"/>
                <w:sz w:val="21"/>
                <w:szCs w:val="21"/>
              </w:rPr>
            </w:pPr>
            <w:r>
              <w:rPr>
                <w:rFonts w:ascii="宋体" w:hAnsi="宋体"/>
                <w:sz w:val="21"/>
                <w:szCs w:val="21"/>
              </w:rPr>
              <w:t>0.9168</w:t>
            </w:r>
          </w:p>
        </w:tc>
        <w:tc>
          <w:tcPr>
            <w:tcW w:w="763" w:type="dxa"/>
            <w:noWrap/>
            <w:tcMar>
              <w:left w:w="0" w:type="dxa"/>
              <w:right w:w="0" w:type="dxa"/>
            </w:tcMar>
            <w:vAlign w:val="center"/>
          </w:tcPr>
          <w:p w14:paraId="20E5CD53">
            <w:pPr>
              <w:pStyle w:val="39"/>
              <w:rPr>
                <w:rFonts w:ascii="宋体" w:hAnsi="宋体"/>
                <w:sz w:val="21"/>
                <w:szCs w:val="21"/>
              </w:rPr>
            </w:pPr>
            <w:r>
              <w:rPr>
                <w:rFonts w:ascii="宋体" w:hAnsi="宋体"/>
                <w:sz w:val="21"/>
                <w:szCs w:val="21"/>
              </w:rPr>
              <w:t>0.8931</w:t>
            </w:r>
          </w:p>
        </w:tc>
        <w:tc>
          <w:tcPr>
            <w:tcW w:w="763" w:type="dxa"/>
            <w:noWrap/>
            <w:tcMar>
              <w:left w:w="0" w:type="dxa"/>
              <w:right w:w="0" w:type="dxa"/>
            </w:tcMar>
            <w:vAlign w:val="center"/>
          </w:tcPr>
          <w:p w14:paraId="2B02BA73">
            <w:pPr>
              <w:pStyle w:val="39"/>
              <w:rPr>
                <w:rFonts w:ascii="宋体" w:hAnsi="宋体"/>
                <w:sz w:val="21"/>
                <w:szCs w:val="21"/>
              </w:rPr>
            </w:pPr>
            <w:r>
              <w:rPr>
                <w:rFonts w:ascii="宋体" w:hAnsi="宋体"/>
                <w:sz w:val="21"/>
                <w:szCs w:val="21"/>
              </w:rPr>
              <w:t>0.8702</w:t>
            </w:r>
          </w:p>
        </w:tc>
        <w:tc>
          <w:tcPr>
            <w:tcW w:w="763" w:type="dxa"/>
            <w:noWrap/>
            <w:tcMar>
              <w:left w:w="0" w:type="dxa"/>
              <w:right w:w="0" w:type="dxa"/>
            </w:tcMar>
            <w:vAlign w:val="center"/>
          </w:tcPr>
          <w:p w14:paraId="22B7AAB1">
            <w:pPr>
              <w:pStyle w:val="39"/>
              <w:rPr>
                <w:rFonts w:ascii="宋体" w:hAnsi="宋体"/>
                <w:sz w:val="21"/>
                <w:szCs w:val="21"/>
              </w:rPr>
            </w:pPr>
            <w:r>
              <w:rPr>
                <w:rFonts w:ascii="宋体" w:hAnsi="宋体"/>
                <w:sz w:val="21"/>
                <w:szCs w:val="21"/>
              </w:rPr>
              <w:t>0.8481</w:t>
            </w:r>
          </w:p>
        </w:tc>
      </w:tr>
      <w:tr w14:paraId="03631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64" w:type="dxa"/>
            <w:noWrap/>
            <w:tcMar>
              <w:left w:w="0" w:type="dxa"/>
              <w:right w:w="0" w:type="dxa"/>
            </w:tcMar>
            <w:vAlign w:val="center"/>
          </w:tcPr>
          <w:p w14:paraId="7CEFC371">
            <w:pPr>
              <w:pStyle w:val="39"/>
              <w:rPr>
                <w:rFonts w:ascii="宋体" w:hAnsi="宋体"/>
                <w:sz w:val="21"/>
                <w:szCs w:val="21"/>
              </w:rPr>
            </w:pPr>
            <w:r>
              <w:rPr>
                <w:rFonts w:ascii="宋体" w:hAnsi="宋体"/>
                <w:sz w:val="21"/>
                <w:szCs w:val="21"/>
              </w:rPr>
              <w:t>0.95</w:t>
            </w:r>
          </w:p>
        </w:tc>
        <w:tc>
          <w:tcPr>
            <w:tcW w:w="764" w:type="dxa"/>
            <w:noWrap/>
            <w:tcMar>
              <w:left w:w="0" w:type="dxa"/>
              <w:right w:w="0" w:type="dxa"/>
            </w:tcMar>
            <w:vAlign w:val="center"/>
          </w:tcPr>
          <w:p w14:paraId="1529CA27">
            <w:pPr>
              <w:pStyle w:val="39"/>
              <w:rPr>
                <w:rFonts w:ascii="宋体" w:hAnsi="宋体"/>
                <w:sz w:val="21"/>
                <w:szCs w:val="21"/>
              </w:rPr>
            </w:pPr>
            <w:r>
              <w:rPr>
                <w:rFonts w:ascii="宋体" w:hAnsi="宋体"/>
                <w:sz w:val="21"/>
                <w:szCs w:val="21"/>
              </w:rPr>
              <w:t>1.0518</w:t>
            </w:r>
          </w:p>
        </w:tc>
        <w:tc>
          <w:tcPr>
            <w:tcW w:w="764" w:type="dxa"/>
            <w:noWrap/>
            <w:tcMar>
              <w:left w:w="0" w:type="dxa"/>
              <w:right w:w="0" w:type="dxa"/>
            </w:tcMar>
            <w:vAlign w:val="center"/>
          </w:tcPr>
          <w:p w14:paraId="7F3CF6A2">
            <w:pPr>
              <w:pStyle w:val="39"/>
              <w:rPr>
                <w:rFonts w:ascii="宋体" w:hAnsi="宋体"/>
                <w:sz w:val="21"/>
                <w:szCs w:val="21"/>
              </w:rPr>
            </w:pPr>
            <w:r>
              <w:rPr>
                <w:rFonts w:ascii="宋体" w:hAnsi="宋体"/>
                <w:sz w:val="21"/>
                <w:szCs w:val="21"/>
              </w:rPr>
              <w:t>1.0355</w:t>
            </w:r>
          </w:p>
        </w:tc>
        <w:tc>
          <w:tcPr>
            <w:tcW w:w="764" w:type="dxa"/>
            <w:noWrap/>
            <w:tcMar>
              <w:left w:w="0" w:type="dxa"/>
              <w:right w:w="0" w:type="dxa"/>
            </w:tcMar>
            <w:vAlign w:val="center"/>
          </w:tcPr>
          <w:p w14:paraId="60CE9518">
            <w:pPr>
              <w:pStyle w:val="39"/>
              <w:rPr>
                <w:rFonts w:ascii="宋体" w:hAnsi="宋体"/>
                <w:sz w:val="21"/>
                <w:szCs w:val="21"/>
              </w:rPr>
            </w:pPr>
            <w:r>
              <w:rPr>
                <w:rFonts w:ascii="宋体" w:hAnsi="宋体"/>
                <w:sz w:val="21"/>
                <w:szCs w:val="21"/>
              </w:rPr>
              <w:t>1.0179</w:t>
            </w:r>
          </w:p>
        </w:tc>
        <w:tc>
          <w:tcPr>
            <w:tcW w:w="763" w:type="dxa"/>
            <w:noWrap/>
            <w:tcMar>
              <w:left w:w="0" w:type="dxa"/>
              <w:right w:w="0" w:type="dxa"/>
            </w:tcMar>
            <w:vAlign w:val="center"/>
          </w:tcPr>
          <w:p w14:paraId="703A9774">
            <w:pPr>
              <w:pStyle w:val="39"/>
              <w:rPr>
                <w:rFonts w:ascii="宋体" w:hAnsi="宋体"/>
                <w:sz w:val="21"/>
                <w:szCs w:val="21"/>
              </w:rPr>
            </w:pPr>
            <w:r>
              <w:rPr>
                <w:rFonts w:ascii="宋体" w:hAnsi="宋体"/>
                <w:sz w:val="21"/>
                <w:szCs w:val="21"/>
              </w:rPr>
              <w:t>0.9991</w:t>
            </w:r>
          </w:p>
        </w:tc>
        <w:tc>
          <w:tcPr>
            <w:tcW w:w="763" w:type="dxa"/>
            <w:noWrap/>
            <w:tcMar>
              <w:left w:w="0" w:type="dxa"/>
              <w:right w:w="0" w:type="dxa"/>
            </w:tcMar>
            <w:vAlign w:val="center"/>
          </w:tcPr>
          <w:p w14:paraId="12D11FE6">
            <w:pPr>
              <w:pStyle w:val="39"/>
              <w:rPr>
                <w:rFonts w:ascii="宋体" w:hAnsi="宋体"/>
                <w:sz w:val="21"/>
                <w:szCs w:val="21"/>
              </w:rPr>
            </w:pPr>
            <w:r>
              <w:rPr>
                <w:rFonts w:ascii="宋体" w:hAnsi="宋体"/>
                <w:sz w:val="21"/>
                <w:szCs w:val="21"/>
              </w:rPr>
              <w:t>0.9793</w:t>
            </w:r>
          </w:p>
        </w:tc>
        <w:tc>
          <w:tcPr>
            <w:tcW w:w="763" w:type="dxa"/>
            <w:noWrap/>
            <w:tcMar>
              <w:left w:w="0" w:type="dxa"/>
              <w:right w:w="0" w:type="dxa"/>
            </w:tcMar>
            <w:vAlign w:val="center"/>
          </w:tcPr>
          <w:p w14:paraId="7BC17D9D">
            <w:pPr>
              <w:pStyle w:val="39"/>
              <w:rPr>
                <w:rFonts w:ascii="宋体" w:hAnsi="宋体"/>
                <w:sz w:val="21"/>
                <w:szCs w:val="21"/>
              </w:rPr>
            </w:pPr>
            <w:r>
              <w:rPr>
                <w:rFonts w:ascii="宋体" w:hAnsi="宋体"/>
                <w:sz w:val="21"/>
                <w:szCs w:val="21"/>
              </w:rPr>
              <w:t>0.9589</w:t>
            </w:r>
          </w:p>
        </w:tc>
        <w:tc>
          <w:tcPr>
            <w:tcW w:w="763" w:type="dxa"/>
            <w:noWrap/>
            <w:tcMar>
              <w:left w:w="0" w:type="dxa"/>
              <w:right w:w="0" w:type="dxa"/>
            </w:tcMar>
            <w:vAlign w:val="center"/>
          </w:tcPr>
          <w:p w14:paraId="48FCDFAE">
            <w:pPr>
              <w:pStyle w:val="39"/>
              <w:rPr>
                <w:rFonts w:ascii="宋体" w:hAnsi="宋体"/>
                <w:sz w:val="21"/>
                <w:szCs w:val="21"/>
              </w:rPr>
            </w:pPr>
            <w:r>
              <w:rPr>
                <w:rFonts w:ascii="宋体" w:hAnsi="宋体"/>
                <w:sz w:val="21"/>
                <w:szCs w:val="21"/>
              </w:rPr>
              <w:t>0.9380</w:t>
            </w:r>
          </w:p>
        </w:tc>
        <w:tc>
          <w:tcPr>
            <w:tcW w:w="763" w:type="dxa"/>
            <w:noWrap/>
            <w:tcMar>
              <w:left w:w="0" w:type="dxa"/>
              <w:right w:w="0" w:type="dxa"/>
            </w:tcMar>
            <w:vAlign w:val="center"/>
          </w:tcPr>
          <w:p w14:paraId="281DE291">
            <w:pPr>
              <w:pStyle w:val="39"/>
              <w:rPr>
                <w:rFonts w:ascii="宋体" w:hAnsi="宋体"/>
                <w:sz w:val="21"/>
                <w:szCs w:val="21"/>
              </w:rPr>
            </w:pPr>
            <w:r>
              <w:rPr>
                <w:rFonts w:ascii="宋体" w:hAnsi="宋体"/>
                <w:sz w:val="21"/>
                <w:szCs w:val="21"/>
              </w:rPr>
              <w:t>0.9170</w:t>
            </w:r>
          </w:p>
        </w:tc>
        <w:tc>
          <w:tcPr>
            <w:tcW w:w="763" w:type="dxa"/>
            <w:noWrap/>
            <w:tcMar>
              <w:left w:w="0" w:type="dxa"/>
              <w:right w:w="0" w:type="dxa"/>
            </w:tcMar>
            <w:vAlign w:val="center"/>
          </w:tcPr>
          <w:p w14:paraId="1D898BAD">
            <w:pPr>
              <w:pStyle w:val="39"/>
              <w:rPr>
                <w:rFonts w:ascii="宋体" w:hAnsi="宋体"/>
                <w:sz w:val="21"/>
                <w:szCs w:val="21"/>
              </w:rPr>
            </w:pPr>
            <w:r>
              <w:rPr>
                <w:rFonts w:ascii="宋体" w:hAnsi="宋体"/>
                <w:sz w:val="21"/>
                <w:szCs w:val="21"/>
              </w:rPr>
              <w:t>0.8961</w:t>
            </w:r>
          </w:p>
        </w:tc>
        <w:tc>
          <w:tcPr>
            <w:tcW w:w="763" w:type="dxa"/>
            <w:noWrap/>
            <w:tcMar>
              <w:left w:w="0" w:type="dxa"/>
              <w:right w:w="0" w:type="dxa"/>
            </w:tcMar>
            <w:vAlign w:val="center"/>
          </w:tcPr>
          <w:p w14:paraId="40C02BC3">
            <w:pPr>
              <w:pStyle w:val="39"/>
              <w:rPr>
                <w:rFonts w:ascii="宋体" w:hAnsi="宋体"/>
                <w:sz w:val="21"/>
                <w:szCs w:val="21"/>
              </w:rPr>
            </w:pPr>
            <w:r>
              <w:rPr>
                <w:rFonts w:ascii="宋体" w:hAnsi="宋体"/>
                <w:sz w:val="21"/>
                <w:szCs w:val="21"/>
              </w:rPr>
              <w:t>0.8755</w:t>
            </w:r>
          </w:p>
        </w:tc>
        <w:tc>
          <w:tcPr>
            <w:tcW w:w="763" w:type="dxa"/>
            <w:noWrap/>
            <w:tcMar>
              <w:left w:w="0" w:type="dxa"/>
              <w:right w:w="0" w:type="dxa"/>
            </w:tcMar>
            <w:vAlign w:val="center"/>
          </w:tcPr>
          <w:p w14:paraId="275BAF5C">
            <w:pPr>
              <w:pStyle w:val="39"/>
              <w:rPr>
                <w:rFonts w:ascii="宋体" w:hAnsi="宋体"/>
                <w:sz w:val="21"/>
                <w:szCs w:val="21"/>
              </w:rPr>
            </w:pPr>
            <w:r>
              <w:rPr>
                <w:rFonts w:ascii="宋体" w:hAnsi="宋体"/>
                <w:sz w:val="21"/>
                <w:szCs w:val="21"/>
              </w:rPr>
              <w:t>0.8553</w:t>
            </w:r>
          </w:p>
        </w:tc>
      </w:tr>
      <w:tr w14:paraId="5BB33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64" w:type="dxa"/>
            <w:noWrap/>
            <w:tcMar>
              <w:left w:w="0" w:type="dxa"/>
              <w:right w:w="0" w:type="dxa"/>
            </w:tcMar>
            <w:vAlign w:val="center"/>
          </w:tcPr>
          <w:p w14:paraId="0B4BB1E2">
            <w:pPr>
              <w:pStyle w:val="39"/>
              <w:rPr>
                <w:rFonts w:ascii="宋体" w:hAnsi="宋体"/>
                <w:sz w:val="21"/>
                <w:szCs w:val="21"/>
              </w:rPr>
            </w:pPr>
            <w:r>
              <w:rPr>
                <w:rFonts w:ascii="宋体" w:hAnsi="宋体"/>
                <w:sz w:val="21"/>
                <w:szCs w:val="21"/>
              </w:rPr>
              <w:t>1.00</w:t>
            </w:r>
          </w:p>
        </w:tc>
        <w:tc>
          <w:tcPr>
            <w:tcW w:w="764" w:type="dxa"/>
            <w:noWrap/>
            <w:tcMar>
              <w:left w:w="0" w:type="dxa"/>
              <w:right w:w="0" w:type="dxa"/>
            </w:tcMar>
            <w:vAlign w:val="center"/>
          </w:tcPr>
          <w:p w14:paraId="71F3EDB6">
            <w:pPr>
              <w:pStyle w:val="39"/>
              <w:rPr>
                <w:rFonts w:ascii="宋体" w:hAnsi="宋体"/>
                <w:sz w:val="21"/>
                <w:szCs w:val="21"/>
              </w:rPr>
            </w:pPr>
            <w:r>
              <w:rPr>
                <w:rFonts w:ascii="宋体" w:hAnsi="宋体"/>
                <w:sz w:val="21"/>
                <w:szCs w:val="21"/>
              </w:rPr>
              <w:t>1.0000</w:t>
            </w:r>
          </w:p>
        </w:tc>
        <w:tc>
          <w:tcPr>
            <w:tcW w:w="764" w:type="dxa"/>
            <w:noWrap/>
            <w:tcMar>
              <w:left w:w="0" w:type="dxa"/>
              <w:right w:w="0" w:type="dxa"/>
            </w:tcMar>
            <w:vAlign w:val="center"/>
          </w:tcPr>
          <w:p w14:paraId="35F34B51">
            <w:pPr>
              <w:pStyle w:val="39"/>
              <w:rPr>
                <w:rFonts w:ascii="宋体" w:hAnsi="宋体"/>
                <w:sz w:val="21"/>
                <w:szCs w:val="21"/>
              </w:rPr>
            </w:pPr>
            <w:r>
              <w:rPr>
                <w:rFonts w:ascii="宋体" w:hAnsi="宋体"/>
                <w:sz w:val="21"/>
                <w:szCs w:val="21"/>
              </w:rPr>
              <w:t>0.9966</w:t>
            </w:r>
          </w:p>
        </w:tc>
        <w:tc>
          <w:tcPr>
            <w:tcW w:w="764" w:type="dxa"/>
            <w:noWrap/>
            <w:tcMar>
              <w:left w:w="0" w:type="dxa"/>
              <w:right w:w="0" w:type="dxa"/>
            </w:tcMar>
            <w:vAlign w:val="center"/>
          </w:tcPr>
          <w:p w14:paraId="519D20FD">
            <w:pPr>
              <w:pStyle w:val="39"/>
              <w:rPr>
                <w:rFonts w:ascii="宋体" w:hAnsi="宋体"/>
                <w:sz w:val="21"/>
                <w:szCs w:val="21"/>
              </w:rPr>
            </w:pPr>
            <w:r>
              <w:rPr>
                <w:rFonts w:ascii="宋体" w:hAnsi="宋体"/>
                <w:sz w:val="21"/>
                <w:szCs w:val="21"/>
              </w:rPr>
              <w:t>0.9878</w:t>
            </w:r>
          </w:p>
        </w:tc>
        <w:tc>
          <w:tcPr>
            <w:tcW w:w="763" w:type="dxa"/>
            <w:noWrap/>
            <w:tcMar>
              <w:left w:w="0" w:type="dxa"/>
              <w:right w:w="0" w:type="dxa"/>
            </w:tcMar>
            <w:vAlign w:val="center"/>
          </w:tcPr>
          <w:p w14:paraId="14077D74">
            <w:pPr>
              <w:pStyle w:val="39"/>
              <w:rPr>
                <w:rFonts w:ascii="宋体" w:hAnsi="宋体"/>
                <w:sz w:val="21"/>
                <w:szCs w:val="21"/>
              </w:rPr>
            </w:pPr>
            <w:r>
              <w:rPr>
                <w:rFonts w:ascii="宋体" w:hAnsi="宋体"/>
                <w:sz w:val="21"/>
                <w:szCs w:val="21"/>
              </w:rPr>
              <w:t>0.9751</w:t>
            </w:r>
          </w:p>
        </w:tc>
        <w:tc>
          <w:tcPr>
            <w:tcW w:w="763" w:type="dxa"/>
            <w:noWrap/>
            <w:tcMar>
              <w:left w:w="0" w:type="dxa"/>
              <w:right w:w="0" w:type="dxa"/>
            </w:tcMar>
            <w:vAlign w:val="center"/>
          </w:tcPr>
          <w:p w14:paraId="7E64820F">
            <w:pPr>
              <w:pStyle w:val="39"/>
              <w:rPr>
                <w:rFonts w:ascii="宋体" w:hAnsi="宋体"/>
                <w:sz w:val="21"/>
                <w:szCs w:val="21"/>
              </w:rPr>
            </w:pPr>
            <w:r>
              <w:rPr>
                <w:rFonts w:ascii="宋体" w:hAnsi="宋体"/>
                <w:sz w:val="21"/>
                <w:szCs w:val="21"/>
              </w:rPr>
              <w:t>0.9597</w:t>
            </w:r>
          </w:p>
        </w:tc>
        <w:tc>
          <w:tcPr>
            <w:tcW w:w="763" w:type="dxa"/>
            <w:noWrap/>
            <w:tcMar>
              <w:left w:w="0" w:type="dxa"/>
              <w:right w:w="0" w:type="dxa"/>
            </w:tcMar>
            <w:vAlign w:val="center"/>
          </w:tcPr>
          <w:p w14:paraId="70DE7F1E">
            <w:pPr>
              <w:pStyle w:val="39"/>
              <w:rPr>
                <w:rFonts w:ascii="宋体" w:hAnsi="宋体"/>
                <w:sz w:val="21"/>
                <w:szCs w:val="21"/>
              </w:rPr>
            </w:pPr>
            <w:r>
              <w:rPr>
                <w:rFonts w:ascii="宋体" w:hAnsi="宋体"/>
                <w:sz w:val="21"/>
                <w:szCs w:val="21"/>
              </w:rPr>
              <w:t>0.9426</w:t>
            </w:r>
          </w:p>
        </w:tc>
        <w:tc>
          <w:tcPr>
            <w:tcW w:w="763" w:type="dxa"/>
            <w:noWrap/>
            <w:tcMar>
              <w:left w:w="0" w:type="dxa"/>
              <w:right w:w="0" w:type="dxa"/>
            </w:tcMar>
            <w:vAlign w:val="center"/>
          </w:tcPr>
          <w:p w14:paraId="22BFA3E7">
            <w:pPr>
              <w:pStyle w:val="39"/>
              <w:rPr>
                <w:rFonts w:ascii="宋体" w:hAnsi="宋体"/>
                <w:sz w:val="21"/>
                <w:szCs w:val="21"/>
              </w:rPr>
            </w:pPr>
            <w:r>
              <w:rPr>
                <w:rFonts w:ascii="宋体" w:hAnsi="宋体"/>
                <w:sz w:val="21"/>
                <w:szCs w:val="21"/>
              </w:rPr>
              <w:t>0.9243</w:t>
            </w:r>
          </w:p>
        </w:tc>
        <w:tc>
          <w:tcPr>
            <w:tcW w:w="763" w:type="dxa"/>
            <w:noWrap/>
            <w:tcMar>
              <w:left w:w="0" w:type="dxa"/>
              <w:right w:w="0" w:type="dxa"/>
            </w:tcMar>
            <w:vAlign w:val="center"/>
          </w:tcPr>
          <w:p w14:paraId="2CFF8E17">
            <w:pPr>
              <w:pStyle w:val="39"/>
              <w:rPr>
                <w:rFonts w:ascii="宋体" w:hAnsi="宋体"/>
                <w:sz w:val="21"/>
                <w:szCs w:val="21"/>
              </w:rPr>
            </w:pPr>
            <w:r>
              <w:rPr>
                <w:rFonts w:ascii="宋体" w:hAnsi="宋体"/>
                <w:sz w:val="21"/>
                <w:szCs w:val="21"/>
              </w:rPr>
              <w:t>0.9055</w:t>
            </w:r>
          </w:p>
        </w:tc>
        <w:tc>
          <w:tcPr>
            <w:tcW w:w="763" w:type="dxa"/>
            <w:noWrap/>
            <w:tcMar>
              <w:left w:w="0" w:type="dxa"/>
              <w:right w:w="0" w:type="dxa"/>
            </w:tcMar>
            <w:vAlign w:val="center"/>
          </w:tcPr>
          <w:p w14:paraId="62FAD288">
            <w:pPr>
              <w:pStyle w:val="39"/>
              <w:rPr>
                <w:rFonts w:ascii="宋体" w:hAnsi="宋体"/>
                <w:sz w:val="21"/>
                <w:szCs w:val="21"/>
              </w:rPr>
            </w:pPr>
            <w:r>
              <w:rPr>
                <w:rFonts w:ascii="宋体" w:hAnsi="宋体"/>
                <w:sz w:val="21"/>
                <w:szCs w:val="21"/>
              </w:rPr>
              <w:t>0.8864</w:t>
            </w:r>
          </w:p>
        </w:tc>
        <w:tc>
          <w:tcPr>
            <w:tcW w:w="763" w:type="dxa"/>
            <w:noWrap/>
            <w:tcMar>
              <w:left w:w="0" w:type="dxa"/>
              <w:right w:w="0" w:type="dxa"/>
            </w:tcMar>
            <w:vAlign w:val="center"/>
          </w:tcPr>
          <w:p w14:paraId="4B6BA4DD">
            <w:pPr>
              <w:pStyle w:val="39"/>
              <w:rPr>
                <w:rFonts w:ascii="宋体" w:hAnsi="宋体"/>
                <w:sz w:val="21"/>
                <w:szCs w:val="21"/>
              </w:rPr>
            </w:pPr>
            <w:r>
              <w:rPr>
                <w:rFonts w:ascii="宋体" w:hAnsi="宋体"/>
                <w:sz w:val="21"/>
                <w:szCs w:val="21"/>
              </w:rPr>
              <w:t>0.8673</w:t>
            </w:r>
          </w:p>
        </w:tc>
        <w:tc>
          <w:tcPr>
            <w:tcW w:w="763" w:type="dxa"/>
            <w:noWrap/>
            <w:tcMar>
              <w:left w:w="0" w:type="dxa"/>
              <w:right w:w="0" w:type="dxa"/>
            </w:tcMar>
            <w:vAlign w:val="center"/>
          </w:tcPr>
          <w:p w14:paraId="7BA09CFB">
            <w:pPr>
              <w:pStyle w:val="39"/>
              <w:rPr>
                <w:rFonts w:ascii="宋体" w:hAnsi="宋体"/>
                <w:sz w:val="21"/>
                <w:szCs w:val="21"/>
              </w:rPr>
            </w:pPr>
            <w:r>
              <w:rPr>
                <w:rFonts w:ascii="宋体" w:hAnsi="宋体"/>
                <w:sz w:val="21"/>
                <w:szCs w:val="21"/>
              </w:rPr>
              <w:t>0.8484</w:t>
            </w:r>
          </w:p>
        </w:tc>
      </w:tr>
    </w:tbl>
    <w:p w14:paraId="5A582558">
      <w:pPr>
        <w:pStyle w:val="39"/>
      </w:pPr>
    </w:p>
    <w:p w14:paraId="0619437A">
      <w:pPr>
        <w:pStyle w:val="39"/>
      </w:pPr>
      <w:r>
        <w:t>表B.0.2-2对称三角形脉冲的</w:t>
      </w:r>
      <w:r>
        <w:rPr>
          <w:i/>
        </w:rPr>
        <w:t>η</w:t>
      </w:r>
      <w:r>
        <w:rPr>
          <w:vertAlign w:val="subscript"/>
        </w:rPr>
        <w:t>max</w:t>
      </w:r>
      <w:r>
        <w:t>值</w:t>
      </w:r>
    </w:p>
    <w:tbl>
      <w:tblPr>
        <w:tblStyle w:val="32"/>
        <w:tblW w:w="94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791"/>
        <w:gridCol w:w="791"/>
        <w:gridCol w:w="791"/>
        <w:gridCol w:w="789"/>
        <w:gridCol w:w="789"/>
        <w:gridCol w:w="789"/>
        <w:gridCol w:w="789"/>
        <w:gridCol w:w="789"/>
        <w:gridCol w:w="789"/>
        <w:gridCol w:w="789"/>
        <w:gridCol w:w="789"/>
      </w:tblGrid>
      <w:tr w14:paraId="25C8B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791" w:type="dxa"/>
            <w:tcBorders>
              <w:tl2br w:val="single" w:color="auto" w:sz="4" w:space="0"/>
            </w:tcBorders>
            <w:noWrap/>
            <w:tcMar>
              <w:left w:w="0" w:type="dxa"/>
              <w:right w:w="0" w:type="dxa"/>
            </w:tcMar>
          </w:tcPr>
          <w:p w14:paraId="123E55B9">
            <w:pPr>
              <w:pStyle w:val="39"/>
              <w:jc w:val="right"/>
              <w:rPr>
                <w:rFonts w:ascii="宋体" w:hAnsi="宋体"/>
                <w:sz w:val="21"/>
                <w:szCs w:val="21"/>
              </w:rPr>
            </w:pPr>
            <w:r>
              <w:rPr>
                <w:rFonts w:ascii="宋体" w:hAnsi="宋体"/>
                <w:sz w:val="21"/>
                <w:szCs w:val="21"/>
              </w:rPr>
              <w:t>ζ</w:t>
            </w:r>
          </w:p>
          <w:p w14:paraId="7C6B48BC">
            <w:pPr>
              <w:pStyle w:val="39"/>
              <w:jc w:val="left"/>
              <w:rPr>
                <w:rFonts w:ascii="宋体" w:hAnsi="宋体"/>
                <w:sz w:val="21"/>
                <w:szCs w:val="21"/>
              </w:rPr>
            </w:pPr>
            <w:r>
              <w:rPr>
                <w:rFonts w:ascii="宋体" w:hAnsi="宋体"/>
                <w:sz w:val="21"/>
                <w:szCs w:val="21"/>
              </w:rPr>
              <w:t>t</w:t>
            </w:r>
            <w:r>
              <w:rPr>
                <w:rFonts w:ascii="宋体" w:hAnsi="宋体"/>
                <w:sz w:val="21"/>
                <w:szCs w:val="21"/>
                <w:vertAlign w:val="subscript"/>
              </w:rPr>
              <w:t>o</w:t>
            </w:r>
            <w:r>
              <w:rPr>
                <w:rFonts w:ascii="宋体" w:hAnsi="宋体"/>
                <w:sz w:val="21"/>
                <w:szCs w:val="21"/>
              </w:rPr>
              <w:t>/T</w:t>
            </w:r>
            <w:r>
              <w:rPr>
                <w:rFonts w:ascii="宋体" w:hAnsi="宋体"/>
                <w:sz w:val="21"/>
                <w:szCs w:val="21"/>
                <w:vertAlign w:val="subscript"/>
              </w:rPr>
              <w:t>n</w:t>
            </w:r>
          </w:p>
        </w:tc>
        <w:tc>
          <w:tcPr>
            <w:tcW w:w="791" w:type="dxa"/>
            <w:noWrap/>
            <w:tcMar>
              <w:left w:w="0" w:type="dxa"/>
              <w:right w:w="0" w:type="dxa"/>
            </w:tcMar>
            <w:vAlign w:val="center"/>
          </w:tcPr>
          <w:p w14:paraId="3AD24CC8">
            <w:pPr>
              <w:pStyle w:val="39"/>
              <w:rPr>
                <w:rFonts w:ascii="宋体" w:hAnsi="宋体"/>
                <w:sz w:val="21"/>
                <w:szCs w:val="21"/>
              </w:rPr>
            </w:pPr>
            <w:r>
              <w:rPr>
                <w:rFonts w:ascii="宋体" w:hAnsi="宋体"/>
                <w:sz w:val="21"/>
                <w:szCs w:val="21"/>
              </w:rPr>
              <w:t xml:space="preserve">0.00 </w:t>
            </w:r>
          </w:p>
        </w:tc>
        <w:tc>
          <w:tcPr>
            <w:tcW w:w="791" w:type="dxa"/>
            <w:noWrap/>
            <w:tcMar>
              <w:left w:w="0" w:type="dxa"/>
              <w:right w:w="0" w:type="dxa"/>
            </w:tcMar>
            <w:vAlign w:val="center"/>
          </w:tcPr>
          <w:p w14:paraId="30D8717E">
            <w:pPr>
              <w:pStyle w:val="39"/>
              <w:rPr>
                <w:rFonts w:ascii="宋体" w:hAnsi="宋体"/>
                <w:sz w:val="21"/>
                <w:szCs w:val="21"/>
              </w:rPr>
            </w:pPr>
            <w:r>
              <w:rPr>
                <w:rFonts w:ascii="宋体" w:hAnsi="宋体"/>
                <w:sz w:val="21"/>
                <w:szCs w:val="21"/>
              </w:rPr>
              <w:t xml:space="preserve">0.05 </w:t>
            </w:r>
          </w:p>
        </w:tc>
        <w:tc>
          <w:tcPr>
            <w:tcW w:w="791" w:type="dxa"/>
            <w:noWrap/>
            <w:tcMar>
              <w:left w:w="0" w:type="dxa"/>
              <w:right w:w="0" w:type="dxa"/>
            </w:tcMar>
            <w:vAlign w:val="center"/>
          </w:tcPr>
          <w:p w14:paraId="7A86CAA2">
            <w:pPr>
              <w:pStyle w:val="39"/>
              <w:rPr>
                <w:rFonts w:ascii="宋体" w:hAnsi="宋体"/>
                <w:sz w:val="21"/>
                <w:szCs w:val="21"/>
              </w:rPr>
            </w:pPr>
            <w:r>
              <w:rPr>
                <w:rFonts w:ascii="宋体" w:hAnsi="宋体"/>
                <w:sz w:val="21"/>
                <w:szCs w:val="21"/>
              </w:rPr>
              <w:t xml:space="preserve">0.10 </w:t>
            </w:r>
          </w:p>
        </w:tc>
        <w:tc>
          <w:tcPr>
            <w:tcW w:w="789" w:type="dxa"/>
            <w:noWrap/>
            <w:tcMar>
              <w:left w:w="0" w:type="dxa"/>
              <w:right w:w="0" w:type="dxa"/>
            </w:tcMar>
            <w:vAlign w:val="center"/>
          </w:tcPr>
          <w:p w14:paraId="20189D38">
            <w:pPr>
              <w:pStyle w:val="39"/>
              <w:rPr>
                <w:rFonts w:ascii="宋体" w:hAnsi="宋体"/>
                <w:sz w:val="21"/>
                <w:szCs w:val="21"/>
              </w:rPr>
            </w:pPr>
            <w:r>
              <w:rPr>
                <w:rFonts w:ascii="宋体" w:hAnsi="宋体"/>
                <w:sz w:val="21"/>
                <w:szCs w:val="21"/>
              </w:rPr>
              <w:t xml:space="preserve">0.15 </w:t>
            </w:r>
          </w:p>
        </w:tc>
        <w:tc>
          <w:tcPr>
            <w:tcW w:w="789" w:type="dxa"/>
            <w:noWrap/>
            <w:tcMar>
              <w:left w:w="0" w:type="dxa"/>
              <w:right w:w="0" w:type="dxa"/>
            </w:tcMar>
            <w:vAlign w:val="center"/>
          </w:tcPr>
          <w:p w14:paraId="6B542444">
            <w:pPr>
              <w:pStyle w:val="39"/>
              <w:rPr>
                <w:rFonts w:ascii="宋体" w:hAnsi="宋体"/>
                <w:sz w:val="21"/>
                <w:szCs w:val="21"/>
              </w:rPr>
            </w:pPr>
            <w:r>
              <w:rPr>
                <w:rFonts w:ascii="宋体" w:hAnsi="宋体"/>
                <w:sz w:val="21"/>
                <w:szCs w:val="21"/>
              </w:rPr>
              <w:t xml:space="preserve">0.20 </w:t>
            </w:r>
          </w:p>
        </w:tc>
        <w:tc>
          <w:tcPr>
            <w:tcW w:w="789" w:type="dxa"/>
            <w:noWrap/>
            <w:tcMar>
              <w:left w:w="0" w:type="dxa"/>
              <w:right w:w="0" w:type="dxa"/>
            </w:tcMar>
            <w:vAlign w:val="center"/>
          </w:tcPr>
          <w:p w14:paraId="16002404">
            <w:pPr>
              <w:pStyle w:val="39"/>
              <w:rPr>
                <w:rFonts w:ascii="宋体" w:hAnsi="宋体"/>
                <w:sz w:val="21"/>
                <w:szCs w:val="21"/>
              </w:rPr>
            </w:pPr>
            <w:r>
              <w:rPr>
                <w:rFonts w:ascii="宋体" w:hAnsi="宋体"/>
                <w:sz w:val="21"/>
                <w:szCs w:val="21"/>
              </w:rPr>
              <w:t xml:space="preserve">0.25 </w:t>
            </w:r>
          </w:p>
        </w:tc>
        <w:tc>
          <w:tcPr>
            <w:tcW w:w="789" w:type="dxa"/>
            <w:noWrap/>
            <w:tcMar>
              <w:left w:w="0" w:type="dxa"/>
              <w:right w:w="0" w:type="dxa"/>
            </w:tcMar>
            <w:vAlign w:val="center"/>
          </w:tcPr>
          <w:p w14:paraId="1E7262BB">
            <w:pPr>
              <w:pStyle w:val="39"/>
              <w:rPr>
                <w:rFonts w:ascii="宋体" w:hAnsi="宋体"/>
                <w:sz w:val="21"/>
                <w:szCs w:val="21"/>
              </w:rPr>
            </w:pPr>
            <w:r>
              <w:rPr>
                <w:rFonts w:ascii="宋体" w:hAnsi="宋体"/>
                <w:sz w:val="21"/>
                <w:szCs w:val="21"/>
              </w:rPr>
              <w:t xml:space="preserve">0.30 </w:t>
            </w:r>
          </w:p>
        </w:tc>
        <w:tc>
          <w:tcPr>
            <w:tcW w:w="789" w:type="dxa"/>
            <w:noWrap/>
            <w:tcMar>
              <w:left w:w="0" w:type="dxa"/>
              <w:right w:w="0" w:type="dxa"/>
            </w:tcMar>
            <w:vAlign w:val="center"/>
          </w:tcPr>
          <w:p w14:paraId="25425908">
            <w:pPr>
              <w:pStyle w:val="39"/>
              <w:rPr>
                <w:rFonts w:ascii="宋体" w:hAnsi="宋体"/>
                <w:sz w:val="21"/>
                <w:szCs w:val="21"/>
              </w:rPr>
            </w:pPr>
            <w:r>
              <w:rPr>
                <w:rFonts w:ascii="宋体" w:hAnsi="宋体"/>
                <w:sz w:val="21"/>
                <w:szCs w:val="21"/>
              </w:rPr>
              <w:t xml:space="preserve">0.35 </w:t>
            </w:r>
          </w:p>
        </w:tc>
        <w:tc>
          <w:tcPr>
            <w:tcW w:w="789" w:type="dxa"/>
            <w:noWrap/>
            <w:tcMar>
              <w:left w:w="0" w:type="dxa"/>
              <w:right w:w="0" w:type="dxa"/>
            </w:tcMar>
            <w:vAlign w:val="center"/>
          </w:tcPr>
          <w:p w14:paraId="7D5E4B1D">
            <w:pPr>
              <w:pStyle w:val="39"/>
              <w:rPr>
                <w:rFonts w:ascii="宋体" w:hAnsi="宋体"/>
                <w:sz w:val="21"/>
                <w:szCs w:val="21"/>
              </w:rPr>
            </w:pPr>
            <w:r>
              <w:rPr>
                <w:rFonts w:ascii="宋体" w:hAnsi="宋体"/>
                <w:sz w:val="21"/>
                <w:szCs w:val="21"/>
              </w:rPr>
              <w:t xml:space="preserve">0.40 </w:t>
            </w:r>
          </w:p>
        </w:tc>
        <w:tc>
          <w:tcPr>
            <w:tcW w:w="789" w:type="dxa"/>
            <w:noWrap/>
            <w:tcMar>
              <w:left w:w="0" w:type="dxa"/>
              <w:right w:w="0" w:type="dxa"/>
            </w:tcMar>
            <w:vAlign w:val="center"/>
          </w:tcPr>
          <w:p w14:paraId="2574951E">
            <w:pPr>
              <w:pStyle w:val="39"/>
              <w:rPr>
                <w:rFonts w:ascii="宋体" w:hAnsi="宋体"/>
                <w:sz w:val="21"/>
                <w:szCs w:val="21"/>
              </w:rPr>
            </w:pPr>
            <w:r>
              <w:rPr>
                <w:rFonts w:ascii="宋体" w:hAnsi="宋体"/>
                <w:sz w:val="21"/>
                <w:szCs w:val="21"/>
              </w:rPr>
              <w:t xml:space="preserve">0.45 </w:t>
            </w:r>
          </w:p>
        </w:tc>
        <w:tc>
          <w:tcPr>
            <w:tcW w:w="789" w:type="dxa"/>
            <w:noWrap/>
            <w:tcMar>
              <w:left w:w="0" w:type="dxa"/>
              <w:right w:w="0" w:type="dxa"/>
            </w:tcMar>
            <w:vAlign w:val="center"/>
          </w:tcPr>
          <w:p w14:paraId="048963DD">
            <w:pPr>
              <w:pStyle w:val="39"/>
              <w:rPr>
                <w:rFonts w:ascii="宋体" w:hAnsi="宋体"/>
                <w:sz w:val="21"/>
                <w:szCs w:val="21"/>
              </w:rPr>
            </w:pPr>
            <w:r>
              <w:rPr>
                <w:rFonts w:ascii="宋体" w:hAnsi="宋体"/>
                <w:sz w:val="21"/>
                <w:szCs w:val="21"/>
              </w:rPr>
              <w:t xml:space="preserve">0.50 </w:t>
            </w:r>
          </w:p>
        </w:tc>
      </w:tr>
      <w:tr w14:paraId="1036E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91" w:type="dxa"/>
            <w:noWrap/>
            <w:tcMar>
              <w:left w:w="0" w:type="dxa"/>
              <w:right w:w="0" w:type="dxa"/>
            </w:tcMar>
          </w:tcPr>
          <w:p w14:paraId="2157E332">
            <w:pPr>
              <w:pStyle w:val="39"/>
              <w:rPr>
                <w:rFonts w:ascii="宋体" w:hAnsi="宋体"/>
                <w:sz w:val="21"/>
                <w:szCs w:val="21"/>
              </w:rPr>
            </w:pPr>
            <w:r>
              <w:rPr>
                <w:rFonts w:ascii="宋体" w:hAnsi="宋体"/>
                <w:sz w:val="21"/>
                <w:szCs w:val="21"/>
              </w:rPr>
              <w:t xml:space="preserve">0.05 </w:t>
            </w:r>
          </w:p>
        </w:tc>
        <w:tc>
          <w:tcPr>
            <w:tcW w:w="791" w:type="dxa"/>
            <w:noWrap/>
            <w:tcMar>
              <w:left w:w="0" w:type="dxa"/>
              <w:right w:w="0" w:type="dxa"/>
            </w:tcMar>
          </w:tcPr>
          <w:p w14:paraId="43B3C915">
            <w:pPr>
              <w:pStyle w:val="39"/>
              <w:rPr>
                <w:rFonts w:ascii="宋体" w:hAnsi="宋体"/>
                <w:sz w:val="21"/>
                <w:szCs w:val="21"/>
              </w:rPr>
            </w:pPr>
            <w:r>
              <w:rPr>
                <w:rFonts w:ascii="宋体" w:hAnsi="宋体"/>
                <w:sz w:val="21"/>
                <w:szCs w:val="21"/>
              </w:rPr>
              <w:t xml:space="preserve">0.1568 </w:t>
            </w:r>
          </w:p>
        </w:tc>
        <w:tc>
          <w:tcPr>
            <w:tcW w:w="791" w:type="dxa"/>
            <w:noWrap/>
            <w:tcMar>
              <w:left w:w="0" w:type="dxa"/>
              <w:right w:w="0" w:type="dxa"/>
            </w:tcMar>
          </w:tcPr>
          <w:p w14:paraId="63361540">
            <w:pPr>
              <w:pStyle w:val="39"/>
              <w:rPr>
                <w:rFonts w:ascii="宋体" w:hAnsi="宋体"/>
                <w:sz w:val="21"/>
                <w:szCs w:val="21"/>
              </w:rPr>
            </w:pPr>
            <w:r>
              <w:rPr>
                <w:rFonts w:ascii="宋体" w:hAnsi="宋体"/>
                <w:sz w:val="21"/>
                <w:szCs w:val="21"/>
              </w:rPr>
              <w:t xml:space="preserve">0.1453 </w:t>
            </w:r>
          </w:p>
        </w:tc>
        <w:tc>
          <w:tcPr>
            <w:tcW w:w="791" w:type="dxa"/>
            <w:noWrap/>
            <w:tcMar>
              <w:left w:w="0" w:type="dxa"/>
              <w:right w:w="0" w:type="dxa"/>
            </w:tcMar>
          </w:tcPr>
          <w:p w14:paraId="2CDA244C">
            <w:pPr>
              <w:pStyle w:val="39"/>
              <w:rPr>
                <w:rFonts w:ascii="宋体" w:hAnsi="宋体"/>
                <w:sz w:val="21"/>
                <w:szCs w:val="21"/>
              </w:rPr>
            </w:pPr>
            <w:r>
              <w:rPr>
                <w:rFonts w:ascii="宋体" w:hAnsi="宋体"/>
                <w:sz w:val="21"/>
                <w:szCs w:val="21"/>
              </w:rPr>
              <w:t xml:space="preserve">0.1352 </w:t>
            </w:r>
          </w:p>
        </w:tc>
        <w:tc>
          <w:tcPr>
            <w:tcW w:w="789" w:type="dxa"/>
            <w:noWrap/>
            <w:tcMar>
              <w:left w:w="0" w:type="dxa"/>
              <w:right w:w="0" w:type="dxa"/>
            </w:tcMar>
          </w:tcPr>
          <w:p w14:paraId="47AF4E9A">
            <w:pPr>
              <w:pStyle w:val="39"/>
              <w:rPr>
                <w:rFonts w:ascii="宋体" w:hAnsi="宋体"/>
                <w:sz w:val="21"/>
                <w:szCs w:val="21"/>
              </w:rPr>
            </w:pPr>
            <w:r>
              <w:rPr>
                <w:rFonts w:ascii="宋体" w:hAnsi="宋体"/>
                <w:sz w:val="21"/>
                <w:szCs w:val="21"/>
              </w:rPr>
              <w:t xml:space="preserve">0.1264 </w:t>
            </w:r>
          </w:p>
        </w:tc>
        <w:tc>
          <w:tcPr>
            <w:tcW w:w="789" w:type="dxa"/>
            <w:noWrap/>
            <w:tcMar>
              <w:left w:w="0" w:type="dxa"/>
              <w:right w:w="0" w:type="dxa"/>
            </w:tcMar>
          </w:tcPr>
          <w:p w14:paraId="2B673F5D">
            <w:pPr>
              <w:pStyle w:val="39"/>
              <w:rPr>
                <w:rFonts w:ascii="宋体" w:hAnsi="宋体"/>
                <w:sz w:val="21"/>
                <w:szCs w:val="21"/>
              </w:rPr>
            </w:pPr>
            <w:r>
              <w:rPr>
                <w:rFonts w:ascii="宋体" w:hAnsi="宋体"/>
                <w:sz w:val="21"/>
                <w:szCs w:val="21"/>
              </w:rPr>
              <w:t xml:space="preserve">0.1185 </w:t>
            </w:r>
          </w:p>
        </w:tc>
        <w:tc>
          <w:tcPr>
            <w:tcW w:w="789" w:type="dxa"/>
            <w:noWrap/>
            <w:tcMar>
              <w:left w:w="0" w:type="dxa"/>
              <w:right w:w="0" w:type="dxa"/>
            </w:tcMar>
          </w:tcPr>
          <w:p w14:paraId="32F6AF53">
            <w:pPr>
              <w:pStyle w:val="39"/>
              <w:rPr>
                <w:rFonts w:ascii="宋体" w:hAnsi="宋体"/>
                <w:sz w:val="21"/>
                <w:szCs w:val="21"/>
              </w:rPr>
            </w:pPr>
            <w:r>
              <w:rPr>
                <w:rFonts w:ascii="宋体" w:hAnsi="宋体"/>
                <w:sz w:val="21"/>
                <w:szCs w:val="21"/>
              </w:rPr>
              <w:t xml:space="preserve">0.1115 </w:t>
            </w:r>
          </w:p>
        </w:tc>
        <w:tc>
          <w:tcPr>
            <w:tcW w:w="789" w:type="dxa"/>
            <w:noWrap/>
            <w:tcMar>
              <w:left w:w="0" w:type="dxa"/>
              <w:right w:w="0" w:type="dxa"/>
            </w:tcMar>
          </w:tcPr>
          <w:p w14:paraId="3CB0C324">
            <w:pPr>
              <w:pStyle w:val="39"/>
              <w:rPr>
                <w:rFonts w:ascii="宋体" w:hAnsi="宋体"/>
                <w:sz w:val="21"/>
                <w:szCs w:val="21"/>
              </w:rPr>
            </w:pPr>
            <w:r>
              <w:rPr>
                <w:rFonts w:ascii="宋体" w:hAnsi="宋体"/>
                <w:sz w:val="21"/>
                <w:szCs w:val="21"/>
              </w:rPr>
              <w:t xml:space="preserve">0.1053 </w:t>
            </w:r>
          </w:p>
        </w:tc>
        <w:tc>
          <w:tcPr>
            <w:tcW w:w="789" w:type="dxa"/>
            <w:noWrap/>
            <w:tcMar>
              <w:left w:w="0" w:type="dxa"/>
              <w:right w:w="0" w:type="dxa"/>
            </w:tcMar>
          </w:tcPr>
          <w:p w14:paraId="643B1A90">
            <w:pPr>
              <w:pStyle w:val="39"/>
              <w:rPr>
                <w:rFonts w:ascii="宋体" w:hAnsi="宋体"/>
                <w:sz w:val="21"/>
                <w:szCs w:val="21"/>
              </w:rPr>
            </w:pPr>
            <w:r>
              <w:rPr>
                <w:rFonts w:ascii="宋体" w:hAnsi="宋体"/>
                <w:sz w:val="21"/>
                <w:szCs w:val="21"/>
              </w:rPr>
              <w:t xml:space="preserve">0.0996 </w:t>
            </w:r>
          </w:p>
        </w:tc>
        <w:tc>
          <w:tcPr>
            <w:tcW w:w="789" w:type="dxa"/>
            <w:noWrap/>
            <w:tcMar>
              <w:left w:w="0" w:type="dxa"/>
              <w:right w:w="0" w:type="dxa"/>
            </w:tcMar>
          </w:tcPr>
          <w:p w14:paraId="4A76E206">
            <w:pPr>
              <w:pStyle w:val="39"/>
              <w:rPr>
                <w:rFonts w:ascii="宋体" w:hAnsi="宋体"/>
                <w:sz w:val="21"/>
                <w:szCs w:val="21"/>
              </w:rPr>
            </w:pPr>
            <w:r>
              <w:rPr>
                <w:rFonts w:ascii="宋体" w:hAnsi="宋体"/>
                <w:sz w:val="21"/>
                <w:szCs w:val="21"/>
              </w:rPr>
              <w:t xml:space="preserve">0.0945 </w:t>
            </w:r>
          </w:p>
        </w:tc>
        <w:tc>
          <w:tcPr>
            <w:tcW w:w="789" w:type="dxa"/>
            <w:noWrap/>
            <w:tcMar>
              <w:left w:w="0" w:type="dxa"/>
              <w:right w:w="0" w:type="dxa"/>
            </w:tcMar>
          </w:tcPr>
          <w:p w14:paraId="4DC9E69B">
            <w:pPr>
              <w:pStyle w:val="39"/>
              <w:rPr>
                <w:rFonts w:ascii="宋体" w:hAnsi="宋体"/>
                <w:sz w:val="21"/>
                <w:szCs w:val="21"/>
              </w:rPr>
            </w:pPr>
            <w:r>
              <w:rPr>
                <w:rFonts w:ascii="宋体" w:hAnsi="宋体"/>
                <w:sz w:val="21"/>
                <w:szCs w:val="21"/>
              </w:rPr>
              <w:t xml:space="preserve">0.0899 </w:t>
            </w:r>
          </w:p>
        </w:tc>
        <w:tc>
          <w:tcPr>
            <w:tcW w:w="789" w:type="dxa"/>
            <w:noWrap/>
            <w:tcMar>
              <w:left w:w="0" w:type="dxa"/>
              <w:right w:w="0" w:type="dxa"/>
            </w:tcMar>
          </w:tcPr>
          <w:p w14:paraId="55A0ADC3">
            <w:pPr>
              <w:pStyle w:val="39"/>
              <w:rPr>
                <w:rFonts w:ascii="宋体" w:hAnsi="宋体"/>
                <w:sz w:val="21"/>
                <w:szCs w:val="21"/>
              </w:rPr>
            </w:pPr>
            <w:r>
              <w:rPr>
                <w:rFonts w:ascii="宋体" w:hAnsi="宋体"/>
                <w:sz w:val="21"/>
                <w:szCs w:val="21"/>
              </w:rPr>
              <w:t xml:space="preserve">0.0856 </w:t>
            </w:r>
          </w:p>
        </w:tc>
      </w:tr>
      <w:tr w14:paraId="4DAB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91" w:type="dxa"/>
            <w:noWrap/>
            <w:tcMar>
              <w:left w:w="0" w:type="dxa"/>
              <w:right w:w="0" w:type="dxa"/>
            </w:tcMar>
          </w:tcPr>
          <w:p w14:paraId="25A607C4">
            <w:pPr>
              <w:pStyle w:val="39"/>
              <w:rPr>
                <w:rFonts w:ascii="宋体" w:hAnsi="宋体"/>
                <w:sz w:val="21"/>
                <w:szCs w:val="21"/>
              </w:rPr>
            </w:pPr>
            <w:r>
              <w:rPr>
                <w:rFonts w:ascii="宋体" w:hAnsi="宋体"/>
                <w:sz w:val="21"/>
                <w:szCs w:val="21"/>
              </w:rPr>
              <w:t xml:space="preserve">0.10 </w:t>
            </w:r>
          </w:p>
        </w:tc>
        <w:tc>
          <w:tcPr>
            <w:tcW w:w="791" w:type="dxa"/>
            <w:noWrap/>
            <w:tcMar>
              <w:left w:w="0" w:type="dxa"/>
              <w:right w:w="0" w:type="dxa"/>
            </w:tcMar>
          </w:tcPr>
          <w:p w14:paraId="6D84A5C5">
            <w:pPr>
              <w:pStyle w:val="39"/>
              <w:rPr>
                <w:rFonts w:ascii="宋体" w:hAnsi="宋体"/>
                <w:sz w:val="21"/>
                <w:szCs w:val="21"/>
              </w:rPr>
            </w:pPr>
            <w:r>
              <w:rPr>
                <w:rFonts w:ascii="宋体" w:hAnsi="宋体"/>
                <w:sz w:val="21"/>
                <w:szCs w:val="21"/>
              </w:rPr>
              <w:t xml:space="preserve">0.3116 </w:t>
            </w:r>
          </w:p>
        </w:tc>
        <w:tc>
          <w:tcPr>
            <w:tcW w:w="791" w:type="dxa"/>
            <w:noWrap/>
            <w:tcMar>
              <w:left w:w="0" w:type="dxa"/>
              <w:right w:w="0" w:type="dxa"/>
            </w:tcMar>
          </w:tcPr>
          <w:p w14:paraId="14D85FEB">
            <w:pPr>
              <w:pStyle w:val="39"/>
              <w:rPr>
                <w:rFonts w:ascii="宋体" w:hAnsi="宋体"/>
                <w:sz w:val="21"/>
                <w:szCs w:val="21"/>
              </w:rPr>
            </w:pPr>
            <w:r>
              <w:rPr>
                <w:rFonts w:ascii="宋体" w:hAnsi="宋体"/>
                <w:sz w:val="21"/>
                <w:szCs w:val="21"/>
              </w:rPr>
              <w:t xml:space="preserve">0.2887 </w:t>
            </w:r>
          </w:p>
        </w:tc>
        <w:tc>
          <w:tcPr>
            <w:tcW w:w="791" w:type="dxa"/>
            <w:noWrap/>
            <w:tcMar>
              <w:left w:w="0" w:type="dxa"/>
              <w:right w:w="0" w:type="dxa"/>
            </w:tcMar>
          </w:tcPr>
          <w:p w14:paraId="4BE47CD5">
            <w:pPr>
              <w:pStyle w:val="39"/>
              <w:rPr>
                <w:rFonts w:ascii="宋体" w:hAnsi="宋体"/>
                <w:sz w:val="21"/>
                <w:szCs w:val="21"/>
              </w:rPr>
            </w:pPr>
            <w:r>
              <w:rPr>
                <w:rFonts w:ascii="宋体" w:hAnsi="宋体"/>
                <w:sz w:val="21"/>
                <w:szCs w:val="21"/>
              </w:rPr>
              <w:t xml:space="preserve">0.2688 </w:t>
            </w:r>
          </w:p>
        </w:tc>
        <w:tc>
          <w:tcPr>
            <w:tcW w:w="789" w:type="dxa"/>
            <w:noWrap/>
            <w:tcMar>
              <w:left w:w="0" w:type="dxa"/>
              <w:right w:w="0" w:type="dxa"/>
            </w:tcMar>
          </w:tcPr>
          <w:p w14:paraId="1795D5A4">
            <w:pPr>
              <w:pStyle w:val="39"/>
              <w:rPr>
                <w:rFonts w:ascii="宋体" w:hAnsi="宋体"/>
                <w:sz w:val="21"/>
                <w:szCs w:val="21"/>
              </w:rPr>
            </w:pPr>
            <w:r>
              <w:rPr>
                <w:rFonts w:ascii="宋体" w:hAnsi="宋体"/>
                <w:sz w:val="21"/>
                <w:szCs w:val="21"/>
              </w:rPr>
              <w:t xml:space="preserve">0.2512 </w:t>
            </w:r>
          </w:p>
        </w:tc>
        <w:tc>
          <w:tcPr>
            <w:tcW w:w="789" w:type="dxa"/>
            <w:noWrap/>
            <w:tcMar>
              <w:left w:w="0" w:type="dxa"/>
              <w:right w:w="0" w:type="dxa"/>
            </w:tcMar>
          </w:tcPr>
          <w:p w14:paraId="6A31BB62">
            <w:pPr>
              <w:pStyle w:val="39"/>
              <w:rPr>
                <w:rFonts w:ascii="宋体" w:hAnsi="宋体"/>
                <w:sz w:val="21"/>
                <w:szCs w:val="21"/>
              </w:rPr>
            </w:pPr>
            <w:r>
              <w:rPr>
                <w:rFonts w:ascii="宋体" w:hAnsi="宋体"/>
                <w:sz w:val="21"/>
                <w:szCs w:val="21"/>
              </w:rPr>
              <w:t xml:space="preserve">0.2356 </w:t>
            </w:r>
          </w:p>
        </w:tc>
        <w:tc>
          <w:tcPr>
            <w:tcW w:w="789" w:type="dxa"/>
            <w:noWrap/>
            <w:tcMar>
              <w:left w:w="0" w:type="dxa"/>
              <w:right w:w="0" w:type="dxa"/>
            </w:tcMar>
          </w:tcPr>
          <w:p w14:paraId="10EE9165">
            <w:pPr>
              <w:pStyle w:val="39"/>
              <w:rPr>
                <w:rFonts w:ascii="宋体" w:hAnsi="宋体"/>
                <w:sz w:val="21"/>
                <w:szCs w:val="21"/>
              </w:rPr>
            </w:pPr>
            <w:r>
              <w:rPr>
                <w:rFonts w:ascii="宋体" w:hAnsi="宋体"/>
                <w:sz w:val="21"/>
                <w:szCs w:val="21"/>
              </w:rPr>
              <w:t xml:space="preserve">0.2217 </w:t>
            </w:r>
          </w:p>
        </w:tc>
        <w:tc>
          <w:tcPr>
            <w:tcW w:w="789" w:type="dxa"/>
            <w:noWrap/>
            <w:tcMar>
              <w:left w:w="0" w:type="dxa"/>
              <w:right w:w="0" w:type="dxa"/>
            </w:tcMar>
          </w:tcPr>
          <w:p w14:paraId="2B4C8DA9">
            <w:pPr>
              <w:pStyle w:val="39"/>
              <w:rPr>
                <w:rFonts w:ascii="宋体" w:hAnsi="宋体"/>
                <w:sz w:val="21"/>
                <w:szCs w:val="21"/>
              </w:rPr>
            </w:pPr>
            <w:r>
              <w:rPr>
                <w:rFonts w:ascii="宋体" w:hAnsi="宋体"/>
                <w:sz w:val="21"/>
                <w:szCs w:val="21"/>
              </w:rPr>
              <w:t xml:space="preserve">0.2092 </w:t>
            </w:r>
          </w:p>
        </w:tc>
        <w:tc>
          <w:tcPr>
            <w:tcW w:w="789" w:type="dxa"/>
            <w:noWrap/>
            <w:tcMar>
              <w:left w:w="0" w:type="dxa"/>
              <w:right w:w="0" w:type="dxa"/>
            </w:tcMar>
          </w:tcPr>
          <w:p w14:paraId="32E34830">
            <w:pPr>
              <w:pStyle w:val="39"/>
              <w:rPr>
                <w:rFonts w:ascii="宋体" w:hAnsi="宋体"/>
                <w:sz w:val="21"/>
                <w:szCs w:val="21"/>
              </w:rPr>
            </w:pPr>
            <w:r>
              <w:rPr>
                <w:rFonts w:ascii="宋体" w:hAnsi="宋体"/>
                <w:sz w:val="21"/>
                <w:szCs w:val="21"/>
              </w:rPr>
              <w:t xml:space="preserve">0.1980 </w:t>
            </w:r>
          </w:p>
        </w:tc>
        <w:tc>
          <w:tcPr>
            <w:tcW w:w="789" w:type="dxa"/>
            <w:noWrap/>
            <w:tcMar>
              <w:left w:w="0" w:type="dxa"/>
              <w:right w:w="0" w:type="dxa"/>
            </w:tcMar>
          </w:tcPr>
          <w:p w14:paraId="54553154">
            <w:pPr>
              <w:pStyle w:val="39"/>
              <w:rPr>
                <w:rFonts w:ascii="宋体" w:hAnsi="宋体"/>
                <w:sz w:val="21"/>
                <w:szCs w:val="21"/>
              </w:rPr>
            </w:pPr>
            <w:r>
              <w:rPr>
                <w:rFonts w:ascii="宋体" w:hAnsi="宋体"/>
                <w:sz w:val="21"/>
                <w:szCs w:val="21"/>
              </w:rPr>
              <w:t xml:space="preserve">0.1879 </w:t>
            </w:r>
          </w:p>
        </w:tc>
        <w:tc>
          <w:tcPr>
            <w:tcW w:w="789" w:type="dxa"/>
            <w:noWrap/>
            <w:tcMar>
              <w:left w:w="0" w:type="dxa"/>
              <w:right w:w="0" w:type="dxa"/>
            </w:tcMar>
          </w:tcPr>
          <w:p w14:paraId="63523FD3">
            <w:pPr>
              <w:pStyle w:val="39"/>
              <w:rPr>
                <w:rFonts w:ascii="宋体" w:hAnsi="宋体"/>
                <w:sz w:val="21"/>
                <w:szCs w:val="21"/>
              </w:rPr>
            </w:pPr>
            <w:r>
              <w:rPr>
                <w:rFonts w:ascii="宋体" w:hAnsi="宋体"/>
                <w:sz w:val="21"/>
                <w:szCs w:val="21"/>
              </w:rPr>
              <w:t xml:space="preserve">0.1786 </w:t>
            </w:r>
          </w:p>
        </w:tc>
        <w:tc>
          <w:tcPr>
            <w:tcW w:w="789" w:type="dxa"/>
            <w:noWrap/>
            <w:tcMar>
              <w:left w:w="0" w:type="dxa"/>
              <w:right w:w="0" w:type="dxa"/>
            </w:tcMar>
          </w:tcPr>
          <w:p w14:paraId="65677976">
            <w:pPr>
              <w:pStyle w:val="39"/>
              <w:rPr>
                <w:rFonts w:ascii="宋体" w:hAnsi="宋体"/>
                <w:sz w:val="21"/>
                <w:szCs w:val="21"/>
              </w:rPr>
            </w:pPr>
            <w:r>
              <w:rPr>
                <w:rFonts w:ascii="宋体" w:hAnsi="宋体"/>
                <w:sz w:val="21"/>
                <w:szCs w:val="21"/>
              </w:rPr>
              <w:t xml:space="preserve">0.1702 </w:t>
            </w:r>
          </w:p>
        </w:tc>
      </w:tr>
      <w:tr w14:paraId="3A18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91" w:type="dxa"/>
            <w:noWrap/>
            <w:tcMar>
              <w:left w:w="0" w:type="dxa"/>
              <w:right w:w="0" w:type="dxa"/>
            </w:tcMar>
          </w:tcPr>
          <w:p w14:paraId="498EDD12">
            <w:pPr>
              <w:pStyle w:val="39"/>
              <w:rPr>
                <w:rFonts w:ascii="宋体" w:hAnsi="宋体"/>
                <w:sz w:val="21"/>
                <w:szCs w:val="21"/>
              </w:rPr>
            </w:pPr>
            <w:r>
              <w:rPr>
                <w:rFonts w:ascii="宋体" w:hAnsi="宋体"/>
                <w:sz w:val="21"/>
                <w:szCs w:val="21"/>
              </w:rPr>
              <w:t xml:space="preserve">0.15 </w:t>
            </w:r>
          </w:p>
        </w:tc>
        <w:tc>
          <w:tcPr>
            <w:tcW w:w="791" w:type="dxa"/>
            <w:noWrap/>
            <w:tcMar>
              <w:left w:w="0" w:type="dxa"/>
              <w:right w:w="0" w:type="dxa"/>
            </w:tcMar>
          </w:tcPr>
          <w:p w14:paraId="08C3C62C">
            <w:pPr>
              <w:pStyle w:val="39"/>
              <w:rPr>
                <w:rFonts w:ascii="宋体" w:hAnsi="宋体"/>
                <w:sz w:val="21"/>
                <w:szCs w:val="21"/>
              </w:rPr>
            </w:pPr>
            <w:r>
              <w:rPr>
                <w:rFonts w:ascii="宋体" w:hAnsi="宋体"/>
                <w:sz w:val="21"/>
                <w:szCs w:val="21"/>
              </w:rPr>
              <w:t xml:space="preserve">0.4626 </w:t>
            </w:r>
          </w:p>
        </w:tc>
        <w:tc>
          <w:tcPr>
            <w:tcW w:w="791" w:type="dxa"/>
            <w:noWrap/>
            <w:tcMar>
              <w:left w:w="0" w:type="dxa"/>
              <w:right w:w="0" w:type="dxa"/>
            </w:tcMar>
          </w:tcPr>
          <w:p w14:paraId="59963629">
            <w:pPr>
              <w:pStyle w:val="39"/>
              <w:rPr>
                <w:rFonts w:ascii="宋体" w:hAnsi="宋体"/>
                <w:sz w:val="21"/>
                <w:szCs w:val="21"/>
              </w:rPr>
            </w:pPr>
            <w:r>
              <w:rPr>
                <w:rFonts w:ascii="宋体" w:hAnsi="宋体"/>
                <w:sz w:val="21"/>
                <w:szCs w:val="21"/>
              </w:rPr>
              <w:t xml:space="preserve">0.4287 </w:t>
            </w:r>
          </w:p>
        </w:tc>
        <w:tc>
          <w:tcPr>
            <w:tcW w:w="791" w:type="dxa"/>
            <w:noWrap/>
            <w:tcMar>
              <w:left w:w="0" w:type="dxa"/>
              <w:right w:w="0" w:type="dxa"/>
            </w:tcMar>
          </w:tcPr>
          <w:p w14:paraId="72A8BB3A">
            <w:pPr>
              <w:pStyle w:val="39"/>
              <w:rPr>
                <w:rFonts w:ascii="宋体" w:hAnsi="宋体"/>
                <w:sz w:val="21"/>
                <w:szCs w:val="21"/>
              </w:rPr>
            </w:pPr>
            <w:r>
              <w:rPr>
                <w:rFonts w:ascii="宋体" w:hAnsi="宋体"/>
                <w:sz w:val="21"/>
                <w:szCs w:val="21"/>
              </w:rPr>
              <w:t xml:space="preserve">0.3990 </w:t>
            </w:r>
          </w:p>
        </w:tc>
        <w:tc>
          <w:tcPr>
            <w:tcW w:w="789" w:type="dxa"/>
            <w:noWrap/>
            <w:tcMar>
              <w:left w:w="0" w:type="dxa"/>
              <w:right w:w="0" w:type="dxa"/>
            </w:tcMar>
          </w:tcPr>
          <w:p w14:paraId="4E239555">
            <w:pPr>
              <w:pStyle w:val="39"/>
              <w:rPr>
                <w:rFonts w:ascii="宋体" w:hAnsi="宋体"/>
                <w:sz w:val="21"/>
                <w:szCs w:val="21"/>
              </w:rPr>
            </w:pPr>
            <w:r>
              <w:rPr>
                <w:rFonts w:ascii="宋体" w:hAnsi="宋体"/>
                <w:sz w:val="21"/>
                <w:szCs w:val="21"/>
              </w:rPr>
              <w:t xml:space="preserve">0.3729 </w:t>
            </w:r>
          </w:p>
        </w:tc>
        <w:tc>
          <w:tcPr>
            <w:tcW w:w="789" w:type="dxa"/>
            <w:noWrap/>
            <w:tcMar>
              <w:left w:w="0" w:type="dxa"/>
              <w:right w:w="0" w:type="dxa"/>
            </w:tcMar>
          </w:tcPr>
          <w:p w14:paraId="4624C20F">
            <w:pPr>
              <w:pStyle w:val="39"/>
              <w:rPr>
                <w:rFonts w:ascii="宋体" w:hAnsi="宋体"/>
                <w:sz w:val="21"/>
                <w:szCs w:val="21"/>
              </w:rPr>
            </w:pPr>
            <w:r>
              <w:rPr>
                <w:rFonts w:ascii="宋体" w:hAnsi="宋体"/>
                <w:sz w:val="21"/>
                <w:szCs w:val="21"/>
              </w:rPr>
              <w:t xml:space="preserve">0.3498 </w:t>
            </w:r>
          </w:p>
        </w:tc>
        <w:tc>
          <w:tcPr>
            <w:tcW w:w="789" w:type="dxa"/>
            <w:noWrap/>
            <w:tcMar>
              <w:left w:w="0" w:type="dxa"/>
              <w:right w:w="0" w:type="dxa"/>
            </w:tcMar>
          </w:tcPr>
          <w:p w14:paraId="0B358DAC">
            <w:pPr>
              <w:pStyle w:val="39"/>
              <w:rPr>
                <w:rFonts w:ascii="宋体" w:hAnsi="宋体"/>
                <w:sz w:val="21"/>
                <w:szCs w:val="21"/>
              </w:rPr>
            </w:pPr>
            <w:r>
              <w:rPr>
                <w:rFonts w:ascii="宋体" w:hAnsi="宋体"/>
                <w:sz w:val="21"/>
                <w:szCs w:val="21"/>
              </w:rPr>
              <w:t xml:space="preserve">0.3291 </w:t>
            </w:r>
          </w:p>
        </w:tc>
        <w:tc>
          <w:tcPr>
            <w:tcW w:w="789" w:type="dxa"/>
            <w:noWrap/>
            <w:tcMar>
              <w:left w:w="0" w:type="dxa"/>
              <w:right w:w="0" w:type="dxa"/>
            </w:tcMar>
          </w:tcPr>
          <w:p w14:paraId="2088B942">
            <w:pPr>
              <w:pStyle w:val="39"/>
              <w:rPr>
                <w:rFonts w:ascii="宋体" w:hAnsi="宋体"/>
                <w:sz w:val="21"/>
                <w:szCs w:val="21"/>
              </w:rPr>
            </w:pPr>
            <w:r>
              <w:rPr>
                <w:rFonts w:ascii="宋体" w:hAnsi="宋体"/>
                <w:sz w:val="21"/>
                <w:szCs w:val="21"/>
              </w:rPr>
              <w:t xml:space="preserve">0.3106 </w:t>
            </w:r>
          </w:p>
        </w:tc>
        <w:tc>
          <w:tcPr>
            <w:tcW w:w="789" w:type="dxa"/>
            <w:noWrap/>
            <w:tcMar>
              <w:left w:w="0" w:type="dxa"/>
              <w:right w:w="0" w:type="dxa"/>
            </w:tcMar>
          </w:tcPr>
          <w:p w14:paraId="3837CE2D">
            <w:pPr>
              <w:pStyle w:val="39"/>
              <w:rPr>
                <w:rFonts w:ascii="宋体" w:hAnsi="宋体"/>
                <w:sz w:val="21"/>
                <w:szCs w:val="21"/>
              </w:rPr>
            </w:pPr>
            <w:r>
              <w:rPr>
                <w:rFonts w:ascii="宋体" w:hAnsi="宋体"/>
                <w:sz w:val="21"/>
                <w:szCs w:val="21"/>
              </w:rPr>
              <w:t xml:space="preserve">0.2940 </w:t>
            </w:r>
          </w:p>
        </w:tc>
        <w:tc>
          <w:tcPr>
            <w:tcW w:w="789" w:type="dxa"/>
            <w:noWrap/>
            <w:tcMar>
              <w:left w:w="0" w:type="dxa"/>
              <w:right w:w="0" w:type="dxa"/>
            </w:tcMar>
          </w:tcPr>
          <w:p w14:paraId="4FED6CD6">
            <w:pPr>
              <w:pStyle w:val="39"/>
              <w:rPr>
                <w:rFonts w:ascii="宋体" w:hAnsi="宋体"/>
                <w:sz w:val="21"/>
                <w:szCs w:val="21"/>
              </w:rPr>
            </w:pPr>
            <w:r>
              <w:rPr>
                <w:rFonts w:ascii="宋体" w:hAnsi="宋体"/>
                <w:sz w:val="21"/>
                <w:szCs w:val="21"/>
              </w:rPr>
              <w:t xml:space="preserve">0.2789 </w:t>
            </w:r>
          </w:p>
        </w:tc>
        <w:tc>
          <w:tcPr>
            <w:tcW w:w="789" w:type="dxa"/>
            <w:noWrap/>
            <w:tcMar>
              <w:left w:w="0" w:type="dxa"/>
              <w:right w:w="0" w:type="dxa"/>
            </w:tcMar>
          </w:tcPr>
          <w:p w14:paraId="62753B6F">
            <w:pPr>
              <w:pStyle w:val="39"/>
              <w:rPr>
                <w:rFonts w:ascii="宋体" w:hAnsi="宋体"/>
                <w:sz w:val="21"/>
                <w:szCs w:val="21"/>
              </w:rPr>
            </w:pPr>
            <w:r>
              <w:rPr>
                <w:rFonts w:ascii="宋体" w:hAnsi="宋体"/>
                <w:sz w:val="21"/>
                <w:szCs w:val="21"/>
              </w:rPr>
              <w:t xml:space="preserve">0.2652 </w:t>
            </w:r>
          </w:p>
        </w:tc>
        <w:tc>
          <w:tcPr>
            <w:tcW w:w="789" w:type="dxa"/>
            <w:noWrap/>
            <w:tcMar>
              <w:left w:w="0" w:type="dxa"/>
              <w:right w:w="0" w:type="dxa"/>
            </w:tcMar>
          </w:tcPr>
          <w:p w14:paraId="46760E88">
            <w:pPr>
              <w:pStyle w:val="39"/>
              <w:rPr>
                <w:rFonts w:ascii="宋体" w:hAnsi="宋体"/>
                <w:sz w:val="21"/>
                <w:szCs w:val="21"/>
              </w:rPr>
            </w:pPr>
            <w:r>
              <w:rPr>
                <w:rFonts w:ascii="宋体" w:hAnsi="宋体"/>
                <w:sz w:val="21"/>
                <w:szCs w:val="21"/>
              </w:rPr>
              <w:t xml:space="preserve">0.2527 </w:t>
            </w:r>
          </w:p>
        </w:tc>
      </w:tr>
      <w:tr w14:paraId="7EF8F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91" w:type="dxa"/>
            <w:noWrap/>
            <w:tcMar>
              <w:left w:w="0" w:type="dxa"/>
              <w:right w:w="0" w:type="dxa"/>
            </w:tcMar>
          </w:tcPr>
          <w:p w14:paraId="4F316F3E">
            <w:pPr>
              <w:pStyle w:val="39"/>
              <w:rPr>
                <w:rFonts w:ascii="宋体" w:hAnsi="宋体"/>
                <w:sz w:val="21"/>
                <w:szCs w:val="21"/>
              </w:rPr>
            </w:pPr>
            <w:r>
              <w:rPr>
                <w:rFonts w:ascii="宋体" w:hAnsi="宋体"/>
                <w:sz w:val="21"/>
                <w:szCs w:val="21"/>
              </w:rPr>
              <w:t xml:space="preserve">0.20 </w:t>
            </w:r>
          </w:p>
        </w:tc>
        <w:tc>
          <w:tcPr>
            <w:tcW w:w="791" w:type="dxa"/>
            <w:noWrap/>
            <w:tcMar>
              <w:left w:w="0" w:type="dxa"/>
              <w:right w:w="0" w:type="dxa"/>
            </w:tcMar>
          </w:tcPr>
          <w:p w14:paraId="36858321">
            <w:pPr>
              <w:pStyle w:val="39"/>
              <w:rPr>
                <w:rFonts w:ascii="宋体" w:hAnsi="宋体"/>
                <w:sz w:val="21"/>
                <w:szCs w:val="21"/>
              </w:rPr>
            </w:pPr>
            <w:r>
              <w:rPr>
                <w:rFonts w:ascii="宋体" w:hAnsi="宋体"/>
                <w:sz w:val="21"/>
                <w:szCs w:val="21"/>
              </w:rPr>
              <w:t xml:space="preserve">0.6079 </w:t>
            </w:r>
          </w:p>
        </w:tc>
        <w:tc>
          <w:tcPr>
            <w:tcW w:w="791" w:type="dxa"/>
            <w:noWrap/>
            <w:tcMar>
              <w:left w:w="0" w:type="dxa"/>
              <w:right w:w="0" w:type="dxa"/>
            </w:tcMar>
          </w:tcPr>
          <w:p w14:paraId="3B044827">
            <w:pPr>
              <w:pStyle w:val="39"/>
              <w:rPr>
                <w:rFonts w:ascii="宋体" w:hAnsi="宋体"/>
                <w:sz w:val="21"/>
                <w:szCs w:val="21"/>
              </w:rPr>
            </w:pPr>
            <w:r>
              <w:rPr>
                <w:rFonts w:ascii="宋体" w:hAnsi="宋体"/>
                <w:sz w:val="21"/>
                <w:szCs w:val="21"/>
              </w:rPr>
              <w:t xml:space="preserve">0.5634 </w:t>
            </w:r>
          </w:p>
        </w:tc>
        <w:tc>
          <w:tcPr>
            <w:tcW w:w="791" w:type="dxa"/>
            <w:noWrap/>
            <w:tcMar>
              <w:left w:w="0" w:type="dxa"/>
              <w:right w:w="0" w:type="dxa"/>
            </w:tcMar>
          </w:tcPr>
          <w:p w14:paraId="2E50DEBB">
            <w:pPr>
              <w:pStyle w:val="39"/>
              <w:rPr>
                <w:rFonts w:ascii="宋体" w:hAnsi="宋体"/>
                <w:sz w:val="21"/>
                <w:szCs w:val="21"/>
              </w:rPr>
            </w:pPr>
            <w:r>
              <w:rPr>
                <w:rFonts w:ascii="宋体" w:hAnsi="宋体"/>
                <w:sz w:val="21"/>
                <w:szCs w:val="21"/>
              </w:rPr>
              <w:t xml:space="preserve">0.5244 </w:t>
            </w:r>
          </w:p>
        </w:tc>
        <w:tc>
          <w:tcPr>
            <w:tcW w:w="789" w:type="dxa"/>
            <w:noWrap/>
            <w:tcMar>
              <w:left w:w="0" w:type="dxa"/>
              <w:right w:w="0" w:type="dxa"/>
            </w:tcMar>
          </w:tcPr>
          <w:p w14:paraId="6F7D6840">
            <w:pPr>
              <w:pStyle w:val="39"/>
              <w:rPr>
                <w:rFonts w:ascii="宋体" w:hAnsi="宋体"/>
                <w:sz w:val="21"/>
                <w:szCs w:val="21"/>
              </w:rPr>
            </w:pPr>
            <w:r>
              <w:rPr>
                <w:rFonts w:ascii="宋体" w:hAnsi="宋体"/>
                <w:sz w:val="21"/>
                <w:szCs w:val="21"/>
              </w:rPr>
              <w:t xml:space="preserve">0.4901 </w:t>
            </w:r>
          </w:p>
        </w:tc>
        <w:tc>
          <w:tcPr>
            <w:tcW w:w="789" w:type="dxa"/>
            <w:noWrap/>
            <w:tcMar>
              <w:left w:w="0" w:type="dxa"/>
              <w:right w:w="0" w:type="dxa"/>
            </w:tcMar>
          </w:tcPr>
          <w:p w14:paraId="3915418F">
            <w:pPr>
              <w:pStyle w:val="39"/>
              <w:rPr>
                <w:rFonts w:ascii="宋体" w:hAnsi="宋体"/>
                <w:sz w:val="21"/>
                <w:szCs w:val="21"/>
              </w:rPr>
            </w:pPr>
            <w:r>
              <w:rPr>
                <w:rFonts w:ascii="宋体" w:hAnsi="宋体"/>
                <w:sz w:val="21"/>
                <w:szCs w:val="21"/>
              </w:rPr>
              <w:t xml:space="preserve">0.4597 </w:t>
            </w:r>
          </w:p>
        </w:tc>
        <w:tc>
          <w:tcPr>
            <w:tcW w:w="789" w:type="dxa"/>
            <w:noWrap/>
            <w:tcMar>
              <w:left w:w="0" w:type="dxa"/>
              <w:right w:w="0" w:type="dxa"/>
            </w:tcMar>
          </w:tcPr>
          <w:p w14:paraId="7F80CA69">
            <w:pPr>
              <w:pStyle w:val="39"/>
              <w:rPr>
                <w:rFonts w:ascii="宋体" w:hAnsi="宋体"/>
                <w:sz w:val="21"/>
                <w:szCs w:val="21"/>
              </w:rPr>
            </w:pPr>
            <w:r>
              <w:rPr>
                <w:rFonts w:ascii="宋体" w:hAnsi="宋体"/>
                <w:sz w:val="21"/>
                <w:szCs w:val="21"/>
              </w:rPr>
              <w:t xml:space="preserve">0.4326 </w:t>
            </w:r>
          </w:p>
        </w:tc>
        <w:tc>
          <w:tcPr>
            <w:tcW w:w="789" w:type="dxa"/>
            <w:noWrap/>
            <w:tcMar>
              <w:left w:w="0" w:type="dxa"/>
              <w:right w:w="0" w:type="dxa"/>
            </w:tcMar>
          </w:tcPr>
          <w:p w14:paraId="0AE21895">
            <w:pPr>
              <w:pStyle w:val="39"/>
              <w:rPr>
                <w:rFonts w:ascii="宋体" w:hAnsi="宋体"/>
                <w:sz w:val="21"/>
                <w:szCs w:val="21"/>
              </w:rPr>
            </w:pPr>
            <w:r>
              <w:rPr>
                <w:rFonts w:ascii="宋体" w:hAnsi="宋体"/>
                <w:sz w:val="21"/>
                <w:szCs w:val="21"/>
              </w:rPr>
              <w:t xml:space="preserve">0.4083 </w:t>
            </w:r>
          </w:p>
        </w:tc>
        <w:tc>
          <w:tcPr>
            <w:tcW w:w="789" w:type="dxa"/>
            <w:noWrap/>
            <w:tcMar>
              <w:left w:w="0" w:type="dxa"/>
              <w:right w:w="0" w:type="dxa"/>
            </w:tcMar>
          </w:tcPr>
          <w:p w14:paraId="1ED5B81D">
            <w:pPr>
              <w:pStyle w:val="39"/>
              <w:rPr>
                <w:rFonts w:ascii="宋体" w:hAnsi="宋体"/>
                <w:sz w:val="21"/>
                <w:szCs w:val="21"/>
              </w:rPr>
            </w:pPr>
            <w:r>
              <w:rPr>
                <w:rFonts w:ascii="宋体" w:hAnsi="宋体"/>
                <w:sz w:val="21"/>
                <w:szCs w:val="21"/>
              </w:rPr>
              <w:t xml:space="preserve">0.3864 </w:t>
            </w:r>
          </w:p>
        </w:tc>
        <w:tc>
          <w:tcPr>
            <w:tcW w:w="789" w:type="dxa"/>
            <w:noWrap/>
            <w:tcMar>
              <w:left w:w="0" w:type="dxa"/>
              <w:right w:w="0" w:type="dxa"/>
            </w:tcMar>
          </w:tcPr>
          <w:p w14:paraId="0804FBEB">
            <w:pPr>
              <w:pStyle w:val="39"/>
              <w:rPr>
                <w:rFonts w:ascii="宋体" w:hAnsi="宋体"/>
                <w:sz w:val="21"/>
                <w:szCs w:val="21"/>
              </w:rPr>
            </w:pPr>
            <w:r>
              <w:rPr>
                <w:rFonts w:ascii="宋体" w:hAnsi="宋体"/>
                <w:sz w:val="21"/>
                <w:szCs w:val="21"/>
              </w:rPr>
              <w:t xml:space="preserve">0.3666 </w:t>
            </w:r>
          </w:p>
        </w:tc>
        <w:tc>
          <w:tcPr>
            <w:tcW w:w="789" w:type="dxa"/>
            <w:noWrap/>
            <w:tcMar>
              <w:left w:w="0" w:type="dxa"/>
              <w:right w:w="0" w:type="dxa"/>
            </w:tcMar>
          </w:tcPr>
          <w:p w14:paraId="42410F82">
            <w:pPr>
              <w:pStyle w:val="39"/>
              <w:rPr>
                <w:rFonts w:ascii="宋体" w:hAnsi="宋体"/>
                <w:sz w:val="21"/>
                <w:szCs w:val="21"/>
              </w:rPr>
            </w:pPr>
            <w:r>
              <w:rPr>
                <w:rFonts w:ascii="宋体" w:hAnsi="宋体"/>
                <w:sz w:val="21"/>
                <w:szCs w:val="21"/>
              </w:rPr>
              <w:t xml:space="preserve">0.3486 </w:t>
            </w:r>
          </w:p>
        </w:tc>
        <w:tc>
          <w:tcPr>
            <w:tcW w:w="789" w:type="dxa"/>
            <w:noWrap/>
            <w:tcMar>
              <w:left w:w="0" w:type="dxa"/>
              <w:right w:w="0" w:type="dxa"/>
            </w:tcMar>
          </w:tcPr>
          <w:p w14:paraId="54FCBD5A">
            <w:pPr>
              <w:pStyle w:val="39"/>
              <w:rPr>
                <w:rFonts w:ascii="宋体" w:hAnsi="宋体"/>
                <w:sz w:val="21"/>
                <w:szCs w:val="21"/>
              </w:rPr>
            </w:pPr>
            <w:r>
              <w:rPr>
                <w:rFonts w:ascii="宋体" w:hAnsi="宋体"/>
                <w:sz w:val="21"/>
                <w:szCs w:val="21"/>
              </w:rPr>
              <w:t xml:space="preserve">0.3321 </w:t>
            </w:r>
          </w:p>
        </w:tc>
      </w:tr>
      <w:tr w14:paraId="03BCA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91" w:type="dxa"/>
            <w:noWrap/>
            <w:tcMar>
              <w:left w:w="0" w:type="dxa"/>
              <w:right w:w="0" w:type="dxa"/>
            </w:tcMar>
          </w:tcPr>
          <w:p w14:paraId="305C08DC">
            <w:pPr>
              <w:pStyle w:val="39"/>
              <w:rPr>
                <w:rFonts w:ascii="宋体" w:hAnsi="宋体"/>
                <w:sz w:val="21"/>
                <w:szCs w:val="21"/>
              </w:rPr>
            </w:pPr>
            <w:r>
              <w:rPr>
                <w:rFonts w:ascii="宋体" w:hAnsi="宋体"/>
                <w:sz w:val="21"/>
                <w:szCs w:val="21"/>
              </w:rPr>
              <w:t xml:space="preserve">0.25 </w:t>
            </w:r>
          </w:p>
        </w:tc>
        <w:tc>
          <w:tcPr>
            <w:tcW w:w="791" w:type="dxa"/>
            <w:noWrap/>
            <w:tcMar>
              <w:left w:w="0" w:type="dxa"/>
              <w:right w:w="0" w:type="dxa"/>
            </w:tcMar>
          </w:tcPr>
          <w:p w14:paraId="55CC9F16">
            <w:pPr>
              <w:pStyle w:val="39"/>
              <w:rPr>
                <w:rFonts w:ascii="宋体" w:hAnsi="宋体"/>
                <w:sz w:val="21"/>
                <w:szCs w:val="21"/>
              </w:rPr>
            </w:pPr>
            <w:r>
              <w:rPr>
                <w:rFonts w:ascii="宋体" w:hAnsi="宋体"/>
                <w:sz w:val="21"/>
                <w:szCs w:val="21"/>
              </w:rPr>
              <w:t xml:space="preserve">0.7458 </w:t>
            </w:r>
          </w:p>
        </w:tc>
        <w:tc>
          <w:tcPr>
            <w:tcW w:w="791" w:type="dxa"/>
            <w:noWrap/>
            <w:tcMar>
              <w:left w:w="0" w:type="dxa"/>
              <w:right w:w="0" w:type="dxa"/>
            </w:tcMar>
          </w:tcPr>
          <w:p w14:paraId="25FFED8E">
            <w:pPr>
              <w:pStyle w:val="39"/>
              <w:rPr>
                <w:rFonts w:ascii="宋体" w:hAnsi="宋体"/>
                <w:sz w:val="21"/>
                <w:szCs w:val="21"/>
              </w:rPr>
            </w:pPr>
            <w:r>
              <w:rPr>
                <w:rFonts w:ascii="宋体" w:hAnsi="宋体"/>
                <w:sz w:val="21"/>
                <w:szCs w:val="21"/>
              </w:rPr>
              <w:t xml:space="preserve">0.6912 </w:t>
            </w:r>
          </w:p>
        </w:tc>
        <w:tc>
          <w:tcPr>
            <w:tcW w:w="791" w:type="dxa"/>
            <w:noWrap/>
            <w:tcMar>
              <w:left w:w="0" w:type="dxa"/>
              <w:right w:w="0" w:type="dxa"/>
            </w:tcMar>
          </w:tcPr>
          <w:p w14:paraId="66491CE7">
            <w:pPr>
              <w:pStyle w:val="39"/>
              <w:rPr>
                <w:rFonts w:ascii="宋体" w:hAnsi="宋体"/>
                <w:sz w:val="21"/>
                <w:szCs w:val="21"/>
              </w:rPr>
            </w:pPr>
            <w:r>
              <w:rPr>
                <w:rFonts w:ascii="宋体" w:hAnsi="宋体"/>
                <w:sz w:val="21"/>
                <w:szCs w:val="21"/>
              </w:rPr>
              <w:t xml:space="preserve">0.6434 </w:t>
            </w:r>
          </w:p>
        </w:tc>
        <w:tc>
          <w:tcPr>
            <w:tcW w:w="789" w:type="dxa"/>
            <w:noWrap/>
            <w:tcMar>
              <w:left w:w="0" w:type="dxa"/>
              <w:right w:w="0" w:type="dxa"/>
            </w:tcMar>
          </w:tcPr>
          <w:p w14:paraId="1DE6AC3A">
            <w:pPr>
              <w:pStyle w:val="39"/>
              <w:rPr>
                <w:rFonts w:ascii="宋体" w:hAnsi="宋体"/>
                <w:sz w:val="21"/>
                <w:szCs w:val="21"/>
              </w:rPr>
            </w:pPr>
            <w:r>
              <w:rPr>
                <w:rFonts w:ascii="宋体" w:hAnsi="宋体"/>
                <w:sz w:val="21"/>
                <w:szCs w:val="21"/>
              </w:rPr>
              <w:t xml:space="preserve">0.6013 </w:t>
            </w:r>
          </w:p>
        </w:tc>
        <w:tc>
          <w:tcPr>
            <w:tcW w:w="789" w:type="dxa"/>
            <w:noWrap/>
            <w:tcMar>
              <w:left w:w="0" w:type="dxa"/>
              <w:right w:w="0" w:type="dxa"/>
            </w:tcMar>
          </w:tcPr>
          <w:p w14:paraId="3569EC89">
            <w:pPr>
              <w:pStyle w:val="39"/>
              <w:rPr>
                <w:rFonts w:ascii="宋体" w:hAnsi="宋体"/>
                <w:sz w:val="21"/>
                <w:szCs w:val="21"/>
              </w:rPr>
            </w:pPr>
            <w:r>
              <w:rPr>
                <w:rFonts w:ascii="宋体" w:hAnsi="宋体"/>
                <w:sz w:val="21"/>
                <w:szCs w:val="21"/>
              </w:rPr>
              <w:t xml:space="preserve">0.5640 </w:t>
            </w:r>
          </w:p>
        </w:tc>
        <w:tc>
          <w:tcPr>
            <w:tcW w:w="789" w:type="dxa"/>
            <w:noWrap/>
            <w:tcMar>
              <w:left w:w="0" w:type="dxa"/>
              <w:right w:w="0" w:type="dxa"/>
            </w:tcMar>
          </w:tcPr>
          <w:p w14:paraId="3BA417D7">
            <w:pPr>
              <w:pStyle w:val="39"/>
              <w:rPr>
                <w:rFonts w:ascii="宋体" w:hAnsi="宋体"/>
                <w:sz w:val="21"/>
                <w:szCs w:val="21"/>
              </w:rPr>
            </w:pPr>
            <w:r>
              <w:rPr>
                <w:rFonts w:ascii="宋体" w:hAnsi="宋体"/>
                <w:sz w:val="21"/>
                <w:szCs w:val="21"/>
              </w:rPr>
              <w:t xml:space="preserve">0.5307 </w:t>
            </w:r>
          </w:p>
        </w:tc>
        <w:tc>
          <w:tcPr>
            <w:tcW w:w="789" w:type="dxa"/>
            <w:noWrap/>
            <w:tcMar>
              <w:left w:w="0" w:type="dxa"/>
              <w:right w:w="0" w:type="dxa"/>
            </w:tcMar>
          </w:tcPr>
          <w:p w14:paraId="2133654E">
            <w:pPr>
              <w:pStyle w:val="39"/>
              <w:rPr>
                <w:rFonts w:ascii="宋体" w:hAnsi="宋体"/>
                <w:sz w:val="21"/>
                <w:szCs w:val="21"/>
              </w:rPr>
            </w:pPr>
            <w:r>
              <w:rPr>
                <w:rFonts w:ascii="宋体" w:hAnsi="宋体"/>
                <w:sz w:val="21"/>
                <w:szCs w:val="21"/>
              </w:rPr>
              <w:t xml:space="preserve">0.5009 </w:t>
            </w:r>
          </w:p>
        </w:tc>
        <w:tc>
          <w:tcPr>
            <w:tcW w:w="789" w:type="dxa"/>
            <w:noWrap/>
            <w:tcMar>
              <w:left w:w="0" w:type="dxa"/>
              <w:right w:w="0" w:type="dxa"/>
            </w:tcMar>
          </w:tcPr>
          <w:p w14:paraId="4BC21EC7">
            <w:pPr>
              <w:pStyle w:val="39"/>
              <w:rPr>
                <w:rFonts w:ascii="宋体" w:hAnsi="宋体"/>
                <w:sz w:val="21"/>
                <w:szCs w:val="21"/>
              </w:rPr>
            </w:pPr>
            <w:r>
              <w:rPr>
                <w:rFonts w:ascii="宋体" w:hAnsi="宋体"/>
                <w:sz w:val="21"/>
                <w:szCs w:val="21"/>
              </w:rPr>
              <w:t xml:space="preserve">0.4741 </w:t>
            </w:r>
          </w:p>
        </w:tc>
        <w:tc>
          <w:tcPr>
            <w:tcW w:w="789" w:type="dxa"/>
            <w:noWrap/>
            <w:tcMar>
              <w:left w:w="0" w:type="dxa"/>
              <w:right w:w="0" w:type="dxa"/>
            </w:tcMar>
          </w:tcPr>
          <w:p w14:paraId="71239008">
            <w:pPr>
              <w:pStyle w:val="39"/>
              <w:rPr>
                <w:rFonts w:ascii="宋体" w:hAnsi="宋体"/>
                <w:sz w:val="21"/>
                <w:szCs w:val="21"/>
              </w:rPr>
            </w:pPr>
            <w:r>
              <w:rPr>
                <w:rFonts w:ascii="宋体" w:hAnsi="宋体"/>
                <w:sz w:val="21"/>
                <w:szCs w:val="21"/>
              </w:rPr>
              <w:t xml:space="preserve">0.4498 </w:t>
            </w:r>
          </w:p>
        </w:tc>
        <w:tc>
          <w:tcPr>
            <w:tcW w:w="789" w:type="dxa"/>
            <w:noWrap/>
            <w:tcMar>
              <w:left w:w="0" w:type="dxa"/>
              <w:right w:w="0" w:type="dxa"/>
            </w:tcMar>
          </w:tcPr>
          <w:p w14:paraId="7C5977A4">
            <w:pPr>
              <w:pStyle w:val="39"/>
              <w:rPr>
                <w:rFonts w:ascii="宋体" w:hAnsi="宋体"/>
                <w:sz w:val="21"/>
                <w:szCs w:val="21"/>
              </w:rPr>
            </w:pPr>
            <w:r>
              <w:rPr>
                <w:rFonts w:ascii="宋体" w:hAnsi="宋体"/>
                <w:sz w:val="21"/>
                <w:szCs w:val="21"/>
              </w:rPr>
              <w:t xml:space="preserve">0.4277 </w:t>
            </w:r>
          </w:p>
        </w:tc>
        <w:tc>
          <w:tcPr>
            <w:tcW w:w="789" w:type="dxa"/>
            <w:noWrap/>
            <w:tcMar>
              <w:left w:w="0" w:type="dxa"/>
              <w:right w:w="0" w:type="dxa"/>
            </w:tcMar>
          </w:tcPr>
          <w:p w14:paraId="0F4FCEC9">
            <w:pPr>
              <w:pStyle w:val="39"/>
              <w:rPr>
                <w:rFonts w:ascii="宋体" w:hAnsi="宋体"/>
                <w:sz w:val="21"/>
                <w:szCs w:val="21"/>
              </w:rPr>
            </w:pPr>
            <w:r>
              <w:rPr>
                <w:rFonts w:ascii="宋体" w:hAnsi="宋体"/>
                <w:sz w:val="21"/>
                <w:szCs w:val="21"/>
              </w:rPr>
              <w:t xml:space="preserve">0.4076 </w:t>
            </w:r>
          </w:p>
        </w:tc>
      </w:tr>
      <w:tr w14:paraId="35120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91" w:type="dxa"/>
            <w:noWrap/>
            <w:tcMar>
              <w:left w:w="0" w:type="dxa"/>
              <w:right w:w="0" w:type="dxa"/>
            </w:tcMar>
          </w:tcPr>
          <w:p w14:paraId="76626FC6">
            <w:pPr>
              <w:pStyle w:val="39"/>
              <w:rPr>
                <w:rFonts w:ascii="宋体" w:hAnsi="宋体"/>
                <w:sz w:val="21"/>
                <w:szCs w:val="21"/>
              </w:rPr>
            </w:pPr>
            <w:r>
              <w:rPr>
                <w:rFonts w:ascii="宋体" w:hAnsi="宋体"/>
                <w:sz w:val="21"/>
                <w:szCs w:val="21"/>
              </w:rPr>
              <w:t xml:space="preserve">0.30 </w:t>
            </w:r>
          </w:p>
        </w:tc>
        <w:tc>
          <w:tcPr>
            <w:tcW w:w="791" w:type="dxa"/>
            <w:noWrap/>
            <w:tcMar>
              <w:left w:w="0" w:type="dxa"/>
              <w:right w:w="0" w:type="dxa"/>
            </w:tcMar>
          </w:tcPr>
          <w:p w14:paraId="3966EF66">
            <w:pPr>
              <w:pStyle w:val="39"/>
              <w:rPr>
                <w:rFonts w:ascii="宋体" w:hAnsi="宋体"/>
                <w:sz w:val="21"/>
                <w:szCs w:val="21"/>
              </w:rPr>
            </w:pPr>
            <w:r>
              <w:rPr>
                <w:rFonts w:ascii="宋体" w:hAnsi="宋体"/>
                <w:sz w:val="21"/>
                <w:szCs w:val="21"/>
              </w:rPr>
              <w:t xml:space="preserve">0.8747 </w:t>
            </w:r>
          </w:p>
        </w:tc>
        <w:tc>
          <w:tcPr>
            <w:tcW w:w="791" w:type="dxa"/>
            <w:noWrap/>
            <w:tcMar>
              <w:left w:w="0" w:type="dxa"/>
              <w:right w:w="0" w:type="dxa"/>
            </w:tcMar>
          </w:tcPr>
          <w:p w14:paraId="3CFAE842">
            <w:pPr>
              <w:pStyle w:val="39"/>
              <w:rPr>
                <w:rFonts w:ascii="宋体" w:hAnsi="宋体"/>
                <w:sz w:val="21"/>
                <w:szCs w:val="21"/>
              </w:rPr>
            </w:pPr>
            <w:r>
              <w:rPr>
                <w:rFonts w:ascii="宋体" w:hAnsi="宋体"/>
                <w:sz w:val="21"/>
                <w:szCs w:val="21"/>
              </w:rPr>
              <w:t xml:space="preserve">0.8106 </w:t>
            </w:r>
          </w:p>
        </w:tc>
        <w:tc>
          <w:tcPr>
            <w:tcW w:w="791" w:type="dxa"/>
            <w:noWrap/>
            <w:tcMar>
              <w:left w:w="0" w:type="dxa"/>
              <w:right w:w="0" w:type="dxa"/>
            </w:tcMar>
          </w:tcPr>
          <w:p w14:paraId="00ACFB68">
            <w:pPr>
              <w:pStyle w:val="39"/>
              <w:rPr>
                <w:rFonts w:ascii="宋体" w:hAnsi="宋体"/>
                <w:sz w:val="21"/>
                <w:szCs w:val="21"/>
              </w:rPr>
            </w:pPr>
            <w:r>
              <w:rPr>
                <w:rFonts w:ascii="宋体" w:hAnsi="宋体"/>
                <w:sz w:val="21"/>
                <w:szCs w:val="21"/>
              </w:rPr>
              <w:t xml:space="preserve">0.7546 </w:t>
            </w:r>
          </w:p>
        </w:tc>
        <w:tc>
          <w:tcPr>
            <w:tcW w:w="789" w:type="dxa"/>
            <w:noWrap/>
            <w:tcMar>
              <w:left w:w="0" w:type="dxa"/>
              <w:right w:w="0" w:type="dxa"/>
            </w:tcMar>
          </w:tcPr>
          <w:p w14:paraId="07356694">
            <w:pPr>
              <w:pStyle w:val="39"/>
              <w:rPr>
                <w:rFonts w:ascii="宋体" w:hAnsi="宋体"/>
                <w:sz w:val="21"/>
                <w:szCs w:val="21"/>
              </w:rPr>
            </w:pPr>
            <w:r>
              <w:rPr>
                <w:rFonts w:ascii="宋体" w:hAnsi="宋体"/>
                <w:sz w:val="21"/>
                <w:szCs w:val="21"/>
              </w:rPr>
              <w:t xml:space="preserve">0.7052 </w:t>
            </w:r>
          </w:p>
        </w:tc>
        <w:tc>
          <w:tcPr>
            <w:tcW w:w="789" w:type="dxa"/>
            <w:noWrap/>
            <w:tcMar>
              <w:left w:w="0" w:type="dxa"/>
              <w:right w:w="0" w:type="dxa"/>
            </w:tcMar>
          </w:tcPr>
          <w:p w14:paraId="26ACEC2C">
            <w:pPr>
              <w:pStyle w:val="39"/>
              <w:rPr>
                <w:rFonts w:ascii="宋体" w:hAnsi="宋体"/>
                <w:sz w:val="21"/>
                <w:szCs w:val="21"/>
              </w:rPr>
            </w:pPr>
            <w:r>
              <w:rPr>
                <w:rFonts w:ascii="宋体" w:hAnsi="宋体"/>
                <w:sz w:val="21"/>
                <w:szCs w:val="21"/>
              </w:rPr>
              <w:t xml:space="preserve">0.6615 </w:t>
            </w:r>
          </w:p>
        </w:tc>
        <w:tc>
          <w:tcPr>
            <w:tcW w:w="789" w:type="dxa"/>
            <w:noWrap/>
            <w:tcMar>
              <w:left w:w="0" w:type="dxa"/>
              <w:right w:w="0" w:type="dxa"/>
            </w:tcMar>
          </w:tcPr>
          <w:p w14:paraId="52ED2000">
            <w:pPr>
              <w:pStyle w:val="39"/>
              <w:rPr>
                <w:rFonts w:ascii="宋体" w:hAnsi="宋体"/>
                <w:sz w:val="21"/>
                <w:szCs w:val="21"/>
              </w:rPr>
            </w:pPr>
            <w:r>
              <w:rPr>
                <w:rFonts w:ascii="宋体" w:hAnsi="宋体"/>
                <w:sz w:val="21"/>
                <w:szCs w:val="21"/>
              </w:rPr>
              <w:t xml:space="preserve">0.6225 </w:t>
            </w:r>
          </w:p>
        </w:tc>
        <w:tc>
          <w:tcPr>
            <w:tcW w:w="789" w:type="dxa"/>
            <w:noWrap/>
            <w:tcMar>
              <w:left w:w="0" w:type="dxa"/>
              <w:right w:w="0" w:type="dxa"/>
            </w:tcMar>
          </w:tcPr>
          <w:p w14:paraId="6DF1712F">
            <w:pPr>
              <w:pStyle w:val="39"/>
              <w:rPr>
                <w:rFonts w:ascii="宋体" w:hAnsi="宋体"/>
                <w:sz w:val="21"/>
                <w:szCs w:val="21"/>
              </w:rPr>
            </w:pPr>
            <w:r>
              <w:rPr>
                <w:rFonts w:ascii="宋体" w:hAnsi="宋体"/>
                <w:sz w:val="21"/>
                <w:szCs w:val="21"/>
              </w:rPr>
              <w:t xml:space="preserve">0.5876 </w:t>
            </w:r>
          </w:p>
        </w:tc>
        <w:tc>
          <w:tcPr>
            <w:tcW w:w="789" w:type="dxa"/>
            <w:noWrap/>
            <w:tcMar>
              <w:left w:w="0" w:type="dxa"/>
              <w:right w:w="0" w:type="dxa"/>
            </w:tcMar>
          </w:tcPr>
          <w:p w14:paraId="628FFDAD">
            <w:pPr>
              <w:pStyle w:val="39"/>
              <w:rPr>
                <w:rFonts w:ascii="宋体" w:hAnsi="宋体"/>
                <w:sz w:val="21"/>
                <w:szCs w:val="21"/>
              </w:rPr>
            </w:pPr>
            <w:r>
              <w:rPr>
                <w:rFonts w:ascii="宋体" w:hAnsi="宋体"/>
                <w:sz w:val="21"/>
                <w:szCs w:val="21"/>
              </w:rPr>
              <w:t xml:space="preserve">0.5561 </w:t>
            </w:r>
          </w:p>
        </w:tc>
        <w:tc>
          <w:tcPr>
            <w:tcW w:w="789" w:type="dxa"/>
            <w:noWrap/>
            <w:tcMar>
              <w:left w:w="0" w:type="dxa"/>
              <w:right w:w="0" w:type="dxa"/>
            </w:tcMar>
          </w:tcPr>
          <w:p w14:paraId="4903BB60">
            <w:pPr>
              <w:pStyle w:val="39"/>
              <w:rPr>
                <w:rFonts w:ascii="宋体" w:hAnsi="宋体"/>
                <w:sz w:val="21"/>
                <w:szCs w:val="21"/>
              </w:rPr>
            </w:pPr>
            <w:r>
              <w:rPr>
                <w:rFonts w:ascii="宋体" w:hAnsi="宋体"/>
                <w:sz w:val="21"/>
                <w:szCs w:val="21"/>
              </w:rPr>
              <w:t xml:space="preserve">0.5276 </w:t>
            </w:r>
          </w:p>
        </w:tc>
        <w:tc>
          <w:tcPr>
            <w:tcW w:w="789" w:type="dxa"/>
            <w:noWrap/>
            <w:tcMar>
              <w:left w:w="0" w:type="dxa"/>
              <w:right w:w="0" w:type="dxa"/>
            </w:tcMar>
          </w:tcPr>
          <w:p w14:paraId="2F383070">
            <w:pPr>
              <w:pStyle w:val="39"/>
              <w:rPr>
                <w:rFonts w:ascii="宋体" w:hAnsi="宋体"/>
                <w:sz w:val="21"/>
                <w:szCs w:val="21"/>
              </w:rPr>
            </w:pPr>
            <w:r>
              <w:rPr>
                <w:rFonts w:ascii="宋体" w:hAnsi="宋体"/>
                <w:sz w:val="21"/>
                <w:szCs w:val="21"/>
              </w:rPr>
              <w:t xml:space="preserve">0.5017 </w:t>
            </w:r>
          </w:p>
        </w:tc>
        <w:tc>
          <w:tcPr>
            <w:tcW w:w="789" w:type="dxa"/>
            <w:noWrap/>
            <w:tcMar>
              <w:left w:w="0" w:type="dxa"/>
              <w:right w:w="0" w:type="dxa"/>
            </w:tcMar>
          </w:tcPr>
          <w:p w14:paraId="19A6F502">
            <w:pPr>
              <w:pStyle w:val="39"/>
              <w:rPr>
                <w:rFonts w:ascii="宋体" w:hAnsi="宋体"/>
                <w:sz w:val="21"/>
                <w:szCs w:val="21"/>
              </w:rPr>
            </w:pPr>
            <w:r>
              <w:rPr>
                <w:rFonts w:ascii="宋体" w:hAnsi="宋体"/>
                <w:sz w:val="21"/>
                <w:szCs w:val="21"/>
              </w:rPr>
              <w:t xml:space="preserve">0.4781 </w:t>
            </w:r>
          </w:p>
        </w:tc>
      </w:tr>
      <w:tr w14:paraId="010FC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91" w:type="dxa"/>
            <w:noWrap/>
            <w:tcMar>
              <w:left w:w="0" w:type="dxa"/>
              <w:right w:w="0" w:type="dxa"/>
            </w:tcMar>
          </w:tcPr>
          <w:p w14:paraId="1009CAF4">
            <w:pPr>
              <w:pStyle w:val="39"/>
              <w:rPr>
                <w:rFonts w:ascii="宋体" w:hAnsi="宋体"/>
                <w:sz w:val="21"/>
                <w:szCs w:val="21"/>
              </w:rPr>
            </w:pPr>
            <w:r>
              <w:rPr>
                <w:rFonts w:ascii="宋体" w:hAnsi="宋体"/>
                <w:sz w:val="21"/>
                <w:szCs w:val="21"/>
              </w:rPr>
              <w:t xml:space="preserve">0.35 </w:t>
            </w:r>
          </w:p>
        </w:tc>
        <w:tc>
          <w:tcPr>
            <w:tcW w:w="791" w:type="dxa"/>
            <w:noWrap/>
            <w:tcMar>
              <w:left w:w="0" w:type="dxa"/>
              <w:right w:w="0" w:type="dxa"/>
            </w:tcMar>
          </w:tcPr>
          <w:p w14:paraId="62BBA058">
            <w:pPr>
              <w:pStyle w:val="39"/>
              <w:rPr>
                <w:rFonts w:ascii="宋体" w:hAnsi="宋体"/>
                <w:sz w:val="21"/>
                <w:szCs w:val="21"/>
              </w:rPr>
            </w:pPr>
            <w:r>
              <w:rPr>
                <w:rFonts w:ascii="宋体" w:hAnsi="宋体"/>
                <w:sz w:val="21"/>
                <w:szCs w:val="21"/>
              </w:rPr>
              <w:t xml:space="preserve">0.9931 </w:t>
            </w:r>
          </w:p>
        </w:tc>
        <w:tc>
          <w:tcPr>
            <w:tcW w:w="791" w:type="dxa"/>
            <w:noWrap/>
            <w:tcMar>
              <w:left w:w="0" w:type="dxa"/>
              <w:right w:w="0" w:type="dxa"/>
            </w:tcMar>
          </w:tcPr>
          <w:p w14:paraId="53034887">
            <w:pPr>
              <w:pStyle w:val="39"/>
              <w:rPr>
                <w:rFonts w:ascii="宋体" w:hAnsi="宋体"/>
                <w:sz w:val="21"/>
                <w:szCs w:val="21"/>
              </w:rPr>
            </w:pPr>
            <w:r>
              <w:rPr>
                <w:rFonts w:ascii="宋体" w:hAnsi="宋体"/>
                <w:sz w:val="21"/>
                <w:szCs w:val="21"/>
              </w:rPr>
              <w:t xml:space="preserve">0.9203 </w:t>
            </w:r>
          </w:p>
        </w:tc>
        <w:tc>
          <w:tcPr>
            <w:tcW w:w="791" w:type="dxa"/>
            <w:noWrap/>
            <w:tcMar>
              <w:left w:w="0" w:type="dxa"/>
              <w:right w:w="0" w:type="dxa"/>
            </w:tcMar>
          </w:tcPr>
          <w:p w14:paraId="400246D9">
            <w:pPr>
              <w:pStyle w:val="39"/>
              <w:rPr>
                <w:rFonts w:ascii="宋体" w:hAnsi="宋体"/>
                <w:sz w:val="21"/>
                <w:szCs w:val="21"/>
              </w:rPr>
            </w:pPr>
            <w:r>
              <w:rPr>
                <w:rFonts w:ascii="宋体" w:hAnsi="宋体"/>
                <w:sz w:val="21"/>
                <w:szCs w:val="21"/>
              </w:rPr>
              <w:t xml:space="preserve">0.8567 </w:t>
            </w:r>
          </w:p>
        </w:tc>
        <w:tc>
          <w:tcPr>
            <w:tcW w:w="789" w:type="dxa"/>
            <w:noWrap/>
            <w:tcMar>
              <w:left w:w="0" w:type="dxa"/>
              <w:right w:w="0" w:type="dxa"/>
            </w:tcMar>
          </w:tcPr>
          <w:p w14:paraId="3264CA93">
            <w:pPr>
              <w:pStyle w:val="39"/>
              <w:rPr>
                <w:rFonts w:ascii="宋体" w:hAnsi="宋体"/>
                <w:sz w:val="21"/>
                <w:szCs w:val="21"/>
              </w:rPr>
            </w:pPr>
            <w:r>
              <w:rPr>
                <w:rFonts w:ascii="宋体" w:hAnsi="宋体"/>
                <w:sz w:val="21"/>
                <w:szCs w:val="21"/>
              </w:rPr>
              <w:t xml:space="preserve">0.8007 </w:t>
            </w:r>
          </w:p>
        </w:tc>
        <w:tc>
          <w:tcPr>
            <w:tcW w:w="789" w:type="dxa"/>
            <w:noWrap/>
            <w:tcMar>
              <w:left w:w="0" w:type="dxa"/>
              <w:right w:w="0" w:type="dxa"/>
            </w:tcMar>
          </w:tcPr>
          <w:p w14:paraId="5FBC37C7">
            <w:pPr>
              <w:pStyle w:val="39"/>
              <w:rPr>
                <w:rFonts w:ascii="宋体" w:hAnsi="宋体"/>
                <w:sz w:val="21"/>
                <w:szCs w:val="21"/>
              </w:rPr>
            </w:pPr>
            <w:r>
              <w:rPr>
                <w:rFonts w:ascii="宋体" w:hAnsi="宋体"/>
                <w:sz w:val="21"/>
                <w:szCs w:val="21"/>
              </w:rPr>
              <w:t xml:space="preserve">0.7511 </w:t>
            </w:r>
          </w:p>
        </w:tc>
        <w:tc>
          <w:tcPr>
            <w:tcW w:w="789" w:type="dxa"/>
            <w:noWrap/>
            <w:tcMar>
              <w:left w:w="0" w:type="dxa"/>
              <w:right w:w="0" w:type="dxa"/>
            </w:tcMar>
          </w:tcPr>
          <w:p w14:paraId="52B4A6FB">
            <w:pPr>
              <w:pStyle w:val="39"/>
              <w:rPr>
                <w:rFonts w:ascii="宋体" w:hAnsi="宋体"/>
                <w:sz w:val="21"/>
                <w:szCs w:val="21"/>
              </w:rPr>
            </w:pPr>
            <w:r>
              <w:rPr>
                <w:rFonts w:ascii="宋体" w:hAnsi="宋体"/>
                <w:sz w:val="21"/>
                <w:szCs w:val="21"/>
              </w:rPr>
              <w:t xml:space="preserve">0.7068 </w:t>
            </w:r>
          </w:p>
        </w:tc>
        <w:tc>
          <w:tcPr>
            <w:tcW w:w="789" w:type="dxa"/>
            <w:noWrap/>
            <w:tcMar>
              <w:left w:w="0" w:type="dxa"/>
              <w:right w:w="0" w:type="dxa"/>
            </w:tcMar>
          </w:tcPr>
          <w:p w14:paraId="7776D547">
            <w:pPr>
              <w:pStyle w:val="39"/>
              <w:rPr>
                <w:rFonts w:ascii="宋体" w:hAnsi="宋体"/>
                <w:sz w:val="21"/>
                <w:szCs w:val="21"/>
              </w:rPr>
            </w:pPr>
            <w:r>
              <w:rPr>
                <w:rFonts w:ascii="宋体" w:hAnsi="宋体"/>
                <w:sz w:val="21"/>
                <w:szCs w:val="21"/>
              </w:rPr>
              <w:t xml:space="preserve">0.6672 </w:t>
            </w:r>
          </w:p>
        </w:tc>
        <w:tc>
          <w:tcPr>
            <w:tcW w:w="789" w:type="dxa"/>
            <w:noWrap/>
            <w:tcMar>
              <w:left w:w="0" w:type="dxa"/>
              <w:right w:w="0" w:type="dxa"/>
            </w:tcMar>
          </w:tcPr>
          <w:p w14:paraId="24E10CCA">
            <w:pPr>
              <w:pStyle w:val="39"/>
              <w:rPr>
                <w:rFonts w:ascii="宋体" w:hAnsi="宋体"/>
                <w:sz w:val="21"/>
                <w:szCs w:val="21"/>
              </w:rPr>
            </w:pPr>
            <w:r>
              <w:rPr>
                <w:rFonts w:ascii="宋体" w:hAnsi="宋体"/>
                <w:sz w:val="21"/>
                <w:szCs w:val="21"/>
              </w:rPr>
              <w:t xml:space="preserve">0.6315 </w:t>
            </w:r>
          </w:p>
        </w:tc>
        <w:tc>
          <w:tcPr>
            <w:tcW w:w="789" w:type="dxa"/>
            <w:noWrap/>
            <w:tcMar>
              <w:left w:w="0" w:type="dxa"/>
              <w:right w:w="0" w:type="dxa"/>
            </w:tcMar>
          </w:tcPr>
          <w:p w14:paraId="68B46EEE">
            <w:pPr>
              <w:pStyle w:val="39"/>
              <w:rPr>
                <w:rFonts w:ascii="宋体" w:hAnsi="宋体"/>
                <w:sz w:val="21"/>
                <w:szCs w:val="21"/>
              </w:rPr>
            </w:pPr>
            <w:r>
              <w:rPr>
                <w:rFonts w:ascii="宋体" w:hAnsi="宋体"/>
                <w:sz w:val="21"/>
                <w:szCs w:val="21"/>
              </w:rPr>
              <w:t xml:space="preserve">0.5992 </w:t>
            </w:r>
          </w:p>
        </w:tc>
        <w:tc>
          <w:tcPr>
            <w:tcW w:w="789" w:type="dxa"/>
            <w:noWrap/>
            <w:tcMar>
              <w:left w:w="0" w:type="dxa"/>
              <w:right w:w="0" w:type="dxa"/>
            </w:tcMar>
          </w:tcPr>
          <w:p w14:paraId="6D10A096">
            <w:pPr>
              <w:pStyle w:val="39"/>
              <w:rPr>
                <w:rFonts w:ascii="宋体" w:hAnsi="宋体"/>
                <w:sz w:val="21"/>
                <w:szCs w:val="21"/>
              </w:rPr>
            </w:pPr>
            <w:r>
              <w:rPr>
                <w:rFonts w:ascii="宋体" w:hAnsi="宋体"/>
                <w:sz w:val="21"/>
                <w:szCs w:val="21"/>
              </w:rPr>
              <w:t xml:space="preserve">0.5699 </w:t>
            </w:r>
          </w:p>
        </w:tc>
        <w:tc>
          <w:tcPr>
            <w:tcW w:w="789" w:type="dxa"/>
            <w:noWrap/>
            <w:tcMar>
              <w:left w:w="0" w:type="dxa"/>
              <w:right w:w="0" w:type="dxa"/>
            </w:tcMar>
          </w:tcPr>
          <w:p w14:paraId="31ED8B8F">
            <w:pPr>
              <w:pStyle w:val="39"/>
              <w:rPr>
                <w:rFonts w:ascii="宋体" w:hAnsi="宋体"/>
                <w:sz w:val="21"/>
                <w:szCs w:val="21"/>
              </w:rPr>
            </w:pPr>
            <w:r>
              <w:rPr>
                <w:rFonts w:ascii="宋体" w:hAnsi="宋体"/>
                <w:sz w:val="21"/>
                <w:szCs w:val="21"/>
              </w:rPr>
              <w:t xml:space="preserve">0.5431 </w:t>
            </w:r>
          </w:p>
        </w:tc>
      </w:tr>
      <w:tr w14:paraId="0FA6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91" w:type="dxa"/>
            <w:noWrap/>
            <w:tcMar>
              <w:left w:w="0" w:type="dxa"/>
              <w:right w:w="0" w:type="dxa"/>
            </w:tcMar>
          </w:tcPr>
          <w:p w14:paraId="55D9BE96">
            <w:pPr>
              <w:pStyle w:val="39"/>
              <w:rPr>
                <w:rFonts w:ascii="宋体" w:hAnsi="宋体"/>
                <w:sz w:val="21"/>
                <w:szCs w:val="21"/>
              </w:rPr>
            </w:pPr>
            <w:r>
              <w:rPr>
                <w:rFonts w:ascii="宋体" w:hAnsi="宋体"/>
                <w:sz w:val="21"/>
                <w:szCs w:val="21"/>
              </w:rPr>
              <w:t xml:space="preserve">0.40 </w:t>
            </w:r>
          </w:p>
        </w:tc>
        <w:tc>
          <w:tcPr>
            <w:tcW w:w="791" w:type="dxa"/>
            <w:noWrap/>
            <w:tcMar>
              <w:left w:w="0" w:type="dxa"/>
              <w:right w:w="0" w:type="dxa"/>
            </w:tcMar>
          </w:tcPr>
          <w:p w14:paraId="1D717203">
            <w:pPr>
              <w:pStyle w:val="39"/>
              <w:rPr>
                <w:rFonts w:ascii="宋体" w:hAnsi="宋体"/>
                <w:sz w:val="21"/>
                <w:szCs w:val="21"/>
              </w:rPr>
            </w:pPr>
            <w:r>
              <w:rPr>
                <w:rFonts w:ascii="宋体" w:hAnsi="宋体"/>
                <w:sz w:val="21"/>
                <w:szCs w:val="21"/>
              </w:rPr>
              <w:t xml:space="preserve">1.0997 </w:t>
            </w:r>
          </w:p>
        </w:tc>
        <w:tc>
          <w:tcPr>
            <w:tcW w:w="791" w:type="dxa"/>
            <w:noWrap/>
            <w:tcMar>
              <w:left w:w="0" w:type="dxa"/>
              <w:right w:w="0" w:type="dxa"/>
            </w:tcMar>
          </w:tcPr>
          <w:p w14:paraId="242FA326">
            <w:pPr>
              <w:pStyle w:val="39"/>
              <w:rPr>
                <w:rFonts w:ascii="宋体" w:hAnsi="宋体"/>
                <w:sz w:val="21"/>
                <w:szCs w:val="21"/>
              </w:rPr>
            </w:pPr>
            <w:r>
              <w:rPr>
                <w:rFonts w:ascii="宋体" w:hAnsi="宋体"/>
                <w:sz w:val="21"/>
                <w:szCs w:val="21"/>
              </w:rPr>
              <w:t xml:space="preserve">1.0191 </w:t>
            </w:r>
          </w:p>
        </w:tc>
        <w:tc>
          <w:tcPr>
            <w:tcW w:w="791" w:type="dxa"/>
            <w:noWrap/>
            <w:tcMar>
              <w:left w:w="0" w:type="dxa"/>
              <w:right w:w="0" w:type="dxa"/>
            </w:tcMar>
          </w:tcPr>
          <w:p w14:paraId="5292BC46">
            <w:pPr>
              <w:pStyle w:val="39"/>
              <w:rPr>
                <w:rFonts w:ascii="宋体" w:hAnsi="宋体"/>
                <w:sz w:val="21"/>
                <w:szCs w:val="21"/>
              </w:rPr>
            </w:pPr>
            <w:r>
              <w:rPr>
                <w:rFonts w:ascii="宋体" w:hAnsi="宋体"/>
                <w:sz w:val="21"/>
                <w:szCs w:val="21"/>
              </w:rPr>
              <w:t xml:space="preserve">0.9487 </w:t>
            </w:r>
          </w:p>
        </w:tc>
        <w:tc>
          <w:tcPr>
            <w:tcW w:w="789" w:type="dxa"/>
            <w:noWrap/>
            <w:tcMar>
              <w:left w:w="0" w:type="dxa"/>
              <w:right w:w="0" w:type="dxa"/>
            </w:tcMar>
          </w:tcPr>
          <w:p w14:paraId="624DB09B">
            <w:pPr>
              <w:pStyle w:val="39"/>
              <w:rPr>
                <w:rFonts w:ascii="宋体" w:hAnsi="宋体"/>
                <w:sz w:val="21"/>
                <w:szCs w:val="21"/>
              </w:rPr>
            </w:pPr>
            <w:r>
              <w:rPr>
                <w:rFonts w:ascii="宋体" w:hAnsi="宋体"/>
                <w:sz w:val="21"/>
                <w:szCs w:val="21"/>
              </w:rPr>
              <w:t xml:space="preserve">0.8867 </w:t>
            </w:r>
          </w:p>
        </w:tc>
        <w:tc>
          <w:tcPr>
            <w:tcW w:w="789" w:type="dxa"/>
            <w:noWrap/>
            <w:tcMar>
              <w:left w:w="0" w:type="dxa"/>
              <w:right w:w="0" w:type="dxa"/>
            </w:tcMar>
          </w:tcPr>
          <w:p w14:paraId="597D08B8">
            <w:pPr>
              <w:pStyle w:val="39"/>
              <w:rPr>
                <w:rFonts w:ascii="宋体" w:hAnsi="宋体"/>
                <w:sz w:val="21"/>
                <w:szCs w:val="21"/>
              </w:rPr>
            </w:pPr>
            <w:r>
              <w:rPr>
                <w:rFonts w:ascii="宋体" w:hAnsi="宋体"/>
                <w:sz w:val="21"/>
                <w:szCs w:val="21"/>
              </w:rPr>
              <w:t xml:space="preserve">0.8318 </w:t>
            </w:r>
          </w:p>
        </w:tc>
        <w:tc>
          <w:tcPr>
            <w:tcW w:w="789" w:type="dxa"/>
            <w:noWrap/>
            <w:tcMar>
              <w:left w:w="0" w:type="dxa"/>
              <w:right w:w="0" w:type="dxa"/>
            </w:tcMar>
          </w:tcPr>
          <w:p w14:paraId="2CC44F97">
            <w:pPr>
              <w:pStyle w:val="39"/>
              <w:rPr>
                <w:rFonts w:ascii="宋体" w:hAnsi="宋体"/>
                <w:sz w:val="21"/>
                <w:szCs w:val="21"/>
              </w:rPr>
            </w:pPr>
            <w:r>
              <w:rPr>
                <w:rFonts w:ascii="宋体" w:hAnsi="宋体"/>
                <w:sz w:val="21"/>
                <w:szCs w:val="21"/>
              </w:rPr>
              <w:t xml:space="preserve">0.7829 </w:t>
            </w:r>
          </w:p>
        </w:tc>
        <w:tc>
          <w:tcPr>
            <w:tcW w:w="789" w:type="dxa"/>
            <w:noWrap/>
            <w:tcMar>
              <w:left w:w="0" w:type="dxa"/>
              <w:right w:w="0" w:type="dxa"/>
            </w:tcMar>
          </w:tcPr>
          <w:p w14:paraId="022E180B">
            <w:pPr>
              <w:pStyle w:val="39"/>
              <w:rPr>
                <w:rFonts w:ascii="宋体" w:hAnsi="宋体"/>
                <w:sz w:val="21"/>
                <w:szCs w:val="21"/>
              </w:rPr>
            </w:pPr>
            <w:r>
              <w:rPr>
                <w:rFonts w:ascii="宋体" w:hAnsi="宋体"/>
                <w:sz w:val="21"/>
                <w:szCs w:val="21"/>
              </w:rPr>
              <w:t xml:space="preserve">0.7390 </w:t>
            </w:r>
          </w:p>
        </w:tc>
        <w:tc>
          <w:tcPr>
            <w:tcW w:w="789" w:type="dxa"/>
            <w:noWrap/>
            <w:tcMar>
              <w:left w:w="0" w:type="dxa"/>
              <w:right w:w="0" w:type="dxa"/>
            </w:tcMar>
          </w:tcPr>
          <w:p w14:paraId="3D5D1CB6">
            <w:pPr>
              <w:pStyle w:val="39"/>
              <w:rPr>
                <w:rFonts w:ascii="宋体" w:hAnsi="宋体"/>
                <w:sz w:val="21"/>
                <w:szCs w:val="21"/>
              </w:rPr>
            </w:pPr>
            <w:r>
              <w:rPr>
                <w:rFonts w:ascii="宋体" w:hAnsi="宋体"/>
                <w:sz w:val="21"/>
                <w:szCs w:val="21"/>
              </w:rPr>
              <w:t xml:space="preserve">0.6995 </w:t>
            </w:r>
          </w:p>
        </w:tc>
        <w:tc>
          <w:tcPr>
            <w:tcW w:w="789" w:type="dxa"/>
            <w:noWrap/>
            <w:tcMar>
              <w:left w:w="0" w:type="dxa"/>
              <w:right w:w="0" w:type="dxa"/>
            </w:tcMar>
          </w:tcPr>
          <w:p w14:paraId="38234D3C">
            <w:pPr>
              <w:pStyle w:val="39"/>
              <w:rPr>
                <w:rFonts w:ascii="宋体" w:hAnsi="宋体"/>
                <w:sz w:val="21"/>
                <w:szCs w:val="21"/>
              </w:rPr>
            </w:pPr>
            <w:r>
              <w:rPr>
                <w:rFonts w:ascii="宋体" w:hAnsi="宋体"/>
                <w:sz w:val="21"/>
                <w:szCs w:val="21"/>
              </w:rPr>
              <w:t xml:space="preserve">0.6638 </w:t>
            </w:r>
          </w:p>
        </w:tc>
        <w:tc>
          <w:tcPr>
            <w:tcW w:w="789" w:type="dxa"/>
            <w:noWrap/>
            <w:tcMar>
              <w:left w:w="0" w:type="dxa"/>
              <w:right w:w="0" w:type="dxa"/>
            </w:tcMar>
          </w:tcPr>
          <w:p w14:paraId="3D56BC7B">
            <w:pPr>
              <w:pStyle w:val="39"/>
              <w:rPr>
                <w:rFonts w:ascii="宋体" w:hAnsi="宋体"/>
                <w:sz w:val="21"/>
                <w:szCs w:val="21"/>
              </w:rPr>
            </w:pPr>
            <w:r>
              <w:rPr>
                <w:rFonts w:ascii="宋体" w:hAnsi="宋体"/>
                <w:sz w:val="21"/>
                <w:szCs w:val="21"/>
              </w:rPr>
              <w:t xml:space="preserve">0.6314 </w:t>
            </w:r>
          </w:p>
        </w:tc>
        <w:tc>
          <w:tcPr>
            <w:tcW w:w="789" w:type="dxa"/>
            <w:noWrap/>
            <w:tcMar>
              <w:left w:w="0" w:type="dxa"/>
              <w:right w:w="0" w:type="dxa"/>
            </w:tcMar>
          </w:tcPr>
          <w:p w14:paraId="438991AD">
            <w:pPr>
              <w:pStyle w:val="39"/>
              <w:rPr>
                <w:rFonts w:ascii="宋体" w:hAnsi="宋体"/>
                <w:sz w:val="21"/>
                <w:szCs w:val="21"/>
              </w:rPr>
            </w:pPr>
            <w:r>
              <w:rPr>
                <w:rFonts w:ascii="宋体" w:hAnsi="宋体"/>
                <w:sz w:val="21"/>
                <w:szCs w:val="21"/>
              </w:rPr>
              <w:t xml:space="preserve">0.6019 </w:t>
            </w:r>
          </w:p>
        </w:tc>
      </w:tr>
      <w:tr w14:paraId="6FFAA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91" w:type="dxa"/>
            <w:noWrap/>
            <w:tcMar>
              <w:left w:w="0" w:type="dxa"/>
              <w:right w:w="0" w:type="dxa"/>
            </w:tcMar>
          </w:tcPr>
          <w:p w14:paraId="7F07603C">
            <w:pPr>
              <w:pStyle w:val="39"/>
              <w:rPr>
                <w:rFonts w:ascii="宋体" w:hAnsi="宋体"/>
                <w:sz w:val="21"/>
                <w:szCs w:val="21"/>
              </w:rPr>
            </w:pPr>
            <w:r>
              <w:rPr>
                <w:rFonts w:ascii="宋体" w:hAnsi="宋体"/>
                <w:sz w:val="21"/>
                <w:szCs w:val="21"/>
              </w:rPr>
              <w:t xml:space="preserve">0.45 </w:t>
            </w:r>
          </w:p>
        </w:tc>
        <w:tc>
          <w:tcPr>
            <w:tcW w:w="791" w:type="dxa"/>
            <w:noWrap/>
            <w:tcMar>
              <w:left w:w="0" w:type="dxa"/>
              <w:right w:w="0" w:type="dxa"/>
            </w:tcMar>
          </w:tcPr>
          <w:p w14:paraId="5903EA83">
            <w:pPr>
              <w:pStyle w:val="39"/>
              <w:rPr>
                <w:rFonts w:ascii="宋体" w:hAnsi="宋体"/>
                <w:sz w:val="21"/>
                <w:szCs w:val="21"/>
              </w:rPr>
            </w:pPr>
            <w:r>
              <w:rPr>
                <w:rFonts w:ascii="宋体" w:hAnsi="宋体"/>
                <w:sz w:val="21"/>
                <w:szCs w:val="21"/>
              </w:rPr>
              <w:t xml:space="preserve">1.1934 </w:t>
            </w:r>
          </w:p>
        </w:tc>
        <w:tc>
          <w:tcPr>
            <w:tcW w:w="791" w:type="dxa"/>
            <w:noWrap/>
            <w:tcMar>
              <w:left w:w="0" w:type="dxa"/>
              <w:right w:w="0" w:type="dxa"/>
            </w:tcMar>
          </w:tcPr>
          <w:p w14:paraId="0648823A">
            <w:pPr>
              <w:pStyle w:val="39"/>
              <w:rPr>
                <w:rFonts w:ascii="宋体" w:hAnsi="宋体"/>
                <w:sz w:val="21"/>
                <w:szCs w:val="21"/>
              </w:rPr>
            </w:pPr>
            <w:r>
              <w:rPr>
                <w:rFonts w:ascii="宋体" w:hAnsi="宋体"/>
                <w:sz w:val="21"/>
                <w:szCs w:val="21"/>
              </w:rPr>
              <w:t xml:space="preserve">1.1059 </w:t>
            </w:r>
          </w:p>
        </w:tc>
        <w:tc>
          <w:tcPr>
            <w:tcW w:w="791" w:type="dxa"/>
            <w:noWrap/>
            <w:tcMar>
              <w:left w:w="0" w:type="dxa"/>
              <w:right w:w="0" w:type="dxa"/>
            </w:tcMar>
          </w:tcPr>
          <w:p w14:paraId="26B8AE5C">
            <w:pPr>
              <w:pStyle w:val="39"/>
              <w:rPr>
                <w:rFonts w:ascii="宋体" w:hAnsi="宋体"/>
                <w:sz w:val="21"/>
                <w:szCs w:val="21"/>
              </w:rPr>
            </w:pPr>
            <w:r>
              <w:rPr>
                <w:rFonts w:ascii="宋体" w:hAnsi="宋体"/>
                <w:sz w:val="21"/>
                <w:szCs w:val="21"/>
              </w:rPr>
              <w:t xml:space="preserve">1.0295 </w:t>
            </w:r>
          </w:p>
        </w:tc>
        <w:tc>
          <w:tcPr>
            <w:tcW w:w="789" w:type="dxa"/>
            <w:noWrap/>
            <w:tcMar>
              <w:left w:w="0" w:type="dxa"/>
              <w:right w:w="0" w:type="dxa"/>
            </w:tcMar>
          </w:tcPr>
          <w:p w14:paraId="1605B73F">
            <w:pPr>
              <w:pStyle w:val="39"/>
              <w:rPr>
                <w:rFonts w:ascii="宋体" w:hAnsi="宋体"/>
                <w:sz w:val="21"/>
                <w:szCs w:val="21"/>
              </w:rPr>
            </w:pPr>
            <w:r>
              <w:rPr>
                <w:rFonts w:ascii="宋体" w:hAnsi="宋体"/>
                <w:sz w:val="21"/>
                <w:szCs w:val="21"/>
              </w:rPr>
              <w:t xml:space="preserve">0.9623 </w:t>
            </w:r>
          </w:p>
        </w:tc>
        <w:tc>
          <w:tcPr>
            <w:tcW w:w="789" w:type="dxa"/>
            <w:noWrap/>
            <w:tcMar>
              <w:left w:w="0" w:type="dxa"/>
              <w:right w:w="0" w:type="dxa"/>
            </w:tcMar>
          </w:tcPr>
          <w:p w14:paraId="7453ABB9">
            <w:pPr>
              <w:pStyle w:val="39"/>
              <w:rPr>
                <w:rFonts w:ascii="宋体" w:hAnsi="宋体"/>
                <w:sz w:val="21"/>
                <w:szCs w:val="21"/>
              </w:rPr>
            </w:pPr>
            <w:r>
              <w:rPr>
                <w:rFonts w:ascii="宋体" w:hAnsi="宋体"/>
                <w:sz w:val="21"/>
                <w:szCs w:val="21"/>
              </w:rPr>
              <w:t xml:space="preserve">0.9028 </w:t>
            </w:r>
          </w:p>
        </w:tc>
        <w:tc>
          <w:tcPr>
            <w:tcW w:w="789" w:type="dxa"/>
            <w:noWrap/>
            <w:tcMar>
              <w:left w:w="0" w:type="dxa"/>
              <w:right w:w="0" w:type="dxa"/>
            </w:tcMar>
          </w:tcPr>
          <w:p w14:paraId="48EFCF1E">
            <w:pPr>
              <w:pStyle w:val="39"/>
              <w:rPr>
                <w:rFonts w:ascii="宋体" w:hAnsi="宋体"/>
                <w:sz w:val="21"/>
                <w:szCs w:val="21"/>
              </w:rPr>
            </w:pPr>
            <w:r>
              <w:rPr>
                <w:rFonts w:ascii="宋体" w:hAnsi="宋体"/>
                <w:sz w:val="21"/>
                <w:szCs w:val="21"/>
              </w:rPr>
              <w:t xml:space="preserve">0.8498 </w:t>
            </w:r>
          </w:p>
        </w:tc>
        <w:tc>
          <w:tcPr>
            <w:tcW w:w="789" w:type="dxa"/>
            <w:noWrap/>
            <w:tcMar>
              <w:left w:w="0" w:type="dxa"/>
              <w:right w:w="0" w:type="dxa"/>
            </w:tcMar>
          </w:tcPr>
          <w:p w14:paraId="32E995EE">
            <w:pPr>
              <w:pStyle w:val="39"/>
              <w:rPr>
                <w:rFonts w:ascii="宋体" w:hAnsi="宋体"/>
                <w:sz w:val="21"/>
                <w:szCs w:val="21"/>
              </w:rPr>
            </w:pPr>
            <w:r>
              <w:rPr>
                <w:rFonts w:ascii="宋体" w:hAnsi="宋体"/>
                <w:sz w:val="21"/>
                <w:szCs w:val="21"/>
              </w:rPr>
              <w:t xml:space="preserve">0.8023 </w:t>
            </w:r>
          </w:p>
        </w:tc>
        <w:tc>
          <w:tcPr>
            <w:tcW w:w="789" w:type="dxa"/>
            <w:noWrap/>
            <w:tcMar>
              <w:left w:w="0" w:type="dxa"/>
              <w:right w:w="0" w:type="dxa"/>
            </w:tcMar>
          </w:tcPr>
          <w:p w14:paraId="462991BE">
            <w:pPr>
              <w:pStyle w:val="39"/>
              <w:rPr>
                <w:rFonts w:ascii="宋体" w:hAnsi="宋体"/>
                <w:sz w:val="21"/>
                <w:szCs w:val="21"/>
              </w:rPr>
            </w:pPr>
            <w:r>
              <w:rPr>
                <w:rFonts w:ascii="宋体" w:hAnsi="宋体"/>
                <w:sz w:val="21"/>
                <w:szCs w:val="21"/>
              </w:rPr>
              <w:t xml:space="preserve">0.7596 </w:t>
            </w:r>
          </w:p>
        </w:tc>
        <w:tc>
          <w:tcPr>
            <w:tcW w:w="789" w:type="dxa"/>
            <w:noWrap/>
            <w:tcMar>
              <w:left w:w="0" w:type="dxa"/>
              <w:right w:w="0" w:type="dxa"/>
            </w:tcMar>
          </w:tcPr>
          <w:p w14:paraId="43C90E66">
            <w:pPr>
              <w:pStyle w:val="39"/>
              <w:rPr>
                <w:rFonts w:ascii="宋体" w:hAnsi="宋体"/>
                <w:sz w:val="21"/>
                <w:szCs w:val="21"/>
              </w:rPr>
            </w:pPr>
            <w:r>
              <w:rPr>
                <w:rFonts w:ascii="宋体" w:hAnsi="宋体"/>
                <w:sz w:val="21"/>
                <w:szCs w:val="21"/>
              </w:rPr>
              <w:t xml:space="preserve">0.7209 </w:t>
            </w:r>
          </w:p>
        </w:tc>
        <w:tc>
          <w:tcPr>
            <w:tcW w:w="789" w:type="dxa"/>
            <w:noWrap/>
            <w:tcMar>
              <w:left w:w="0" w:type="dxa"/>
              <w:right w:w="0" w:type="dxa"/>
            </w:tcMar>
          </w:tcPr>
          <w:p w14:paraId="133A39DF">
            <w:pPr>
              <w:pStyle w:val="39"/>
              <w:rPr>
                <w:rFonts w:ascii="宋体" w:hAnsi="宋体"/>
                <w:sz w:val="21"/>
                <w:szCs w:val="21"/>
              </w:rPr>
            </w:pPr>
            <w:r>
              <w:rPr>
                <w:rFonts w:ascii="宋体" w:hAnsi="宋体"/>
                <w:sz w:val="21"/>
                <w:szCs w:val="21"/>
              </w:rPr>
              <w:t xml:space="preserve">0.6858 </w:t>
            </w:r>
          </w:p>
        </w:tc>
        <w:tc>
          <w:tcPr>
            <w:tcW w:w="789" w:type="dxa"/>
            <w:noWrap/>
            <w:tcMar>
              <w:left w:w="0" w:type="dxa"/>
              <w:right w:w="0" w:type="dxa"/>
            </w:tcMar>
          </w:tcPr>
          <w:p w14:paraId="3BCAD92F">
            <w:pPr>
              <w:pStyle w:val="39"/>
              <w:rPr>
                <w:rFonts w:ascii="宋体" w:hAnsi="宋体"/>
                <w:sz w:val="21"/>
                <w:szCs w:val="21"/>
              </w:rPr>
            </w:pPr>
            <w:r>
              <w:rPr>
                <w:rFonts w:ascii="宋体" w:hAnsi="宋体"/>
                <w:sz w:val="21"/>
                <w:szCs w:val="21"/>
              </w:rPr>
              <w:t xml:space="preserve">0.6539 </w:t>
            </w:r>
          </w:p>
        </w:tc>
      </w:tr>
      <w:tr w14:paraId="505CC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91" w:type="dxa"/>
            <w:noWrap/>
            <w:tcMar>
              <w:left w:w="0" w:type="dxa"/>
              <w:right w:w="0" w:type="dxa"/>
            </w:tcMar>
          </w:tcPr>
          <w:p w14:paraId="7E6252B5">
            <w:pPr>
              <w:pStyle w:val="39"/>
              <w:rPr>
                <w:rFonts w:ascii="宋体" w:hAnsi="宋体"/>
                <w:sz w:val="21"/>
                <w:szCs w:val="21"/>
              </w:rPr>
            </w:pPr>
            <w:r>
              <w:rPr>
                <w:rFonts w:ascii="宋体" w:hAnsi="宋体"/>
                <w:sz w:val="21"/>
                <w:szCs w:val="21"/>
              </w:rPr>
              <w:t xml:space="preserve">0.50 </w:t>
            </w:r>
          </w:p>
        </w:tc>
        <w:tc>
          <w:tcPr>
            <w:tcW w:w="791" w:type="dxa"/>
            <w:noWrap/>
            <w:tcMar>
              <w:left w:w="0" w:type="dxa"/>
              <w:right w:w="0" w:type="dxa"/>
            </w:tcMar>
          </w:tcPr>
          <w:p w14:paraId="1D0BD487">
            <w:pPr>
              <w:pStyle w:val="39"/>
              <w:rPr>
                <w:rFonts w:ascii="宋体" w:hAnsi="宋体"/>
                <w:sz w:val="21"/>
                <w:szCs w:val="21"/>
              </w:rPr>
            </w:pPr>
            <w:r>
              <w:rPr>
                <w:rFonts w:ascii="宋体" w:hAnsi="宋体"/>
                <w:sz w:val="21"/>
                <w:szCs w:val="21"/>
              </w:rPr>
              <w:t xml:space="preserve">1.2732 </w:t>
            </w:r>
          </w:p>
        </w:tc>
        <w:tc>
          <w:tcPr>
            <w:tcW w:w="791" w:type="dxa"/>
            <w:noWrap/>
            <w:tcMar>
              <w:left w:w="0" w:type="dxa"/>
              <w:right w:w="0" w:type="dxa"/>
            </w:tcMar>
          </w:tcPr>
          <w:p w14:paraId="69E512BC">
            <w:pPr>
              <w:pStyle w:val="39"/>
              <w:rPr>
                <w:rFonts w:ascii="宋体" w:hAnsi="宋体"/>
                <w:sz w:val="21"/>
                <w:szCs w:val="21"/>
              </w:rPr>
            </w:pPr>
            <w:r>
              <w:rPr>
                <w:rFonts w:ascii="宋体" w:hAnsi="宋体"/>
                <w:sz w:val="21"/>
                <w:szCs w:val="21"/>
              </w:rPr>
              <w:t xml:space="preserve">1.1800 </w:t>
            </w:r>
          </w:p>
        </w:tc>
        <w:tc>
          <w:tcPr>
            <w:tcW w:w="791" w:type="dxa"/>
            <w:noWrap/>
            <w:tcMar>
              <w:left w:w="0" w:type="dxa"/>
              <w:right w:w="0" w:type="dxa"/>
            </w:tcMar>
          </w:tcPr>
          <w:p w14:paraId="140CB262">
            <w:pPr>
              <w:pStyle w:val="39"/>
              <w:rPr>
                <w:rFonts w:ascii="宋体" w:hAnsi="宋体"/>
                <w:sz w:val="21"/>
                <w:szCs w:val="21"/>
              </w:rPr>
            </w:pPr>
            <w:r>
              <w:rPr>
                <w:rFonts w:ascii="宋体" w:hAnsi="宋体"/>
                <w:sz w:val="21"/>
                <w:szCs w:val="21"/>
              </w:rPr>
              <w:t xml:space="preserve">1.0985 </w:t>
            </w:r>
          </w:p>
        </w:tc>
        <w:tc>
          <w:tcPr>
            <w:tcW w:w="789" w:type="dxa"/>
            <w:noWrap/>
            <w:tcMar>
              <w:left w:w="0" w:type="dxa"/>
              <w:right w:w="0" w:type="dxa"/>
            </w:tcMar>
          </w:tcPr>
          <w:p w14:paraId="46240549">
            <w:pPr>
              <w:pStyle w:val="39"/>
              <w:rPr>
                <w:rFonts w:ascii="宋体" w:hAnsi="宋体"/>
                <w:sz w:val="21"/>
                <w:szCs w:val="21"/>
              </w:rPr>
            </w:pPr>
            <w:r>
              <w:rPr>
                <w:rFonts w:ascii="宋体" w:hAnsi="宋体"/>
                <w:sz w:val="21"/>
                <w:szCs w:val="21"/>
              </w:rPr>
              <w:t xml:space="preserve">1.0269 </w:t>
            </w:r>
          </w:p>
        </w:tc>
        <w:tc>
          <w:tcPr>
            <w:tcW w:w="789" w:type="dxa"/>
            <w:noWrap/>
            <w:tcMar>
              <w:left w:w="0" w:type="dxa"/>
              <w:right w:w="0" w:type="dxa"/>
            </w:tcMar>
          </w:tcPr>
          <w:p w14:paraId="6EEB9763">
            <w:pPr>
              <w:pStyle w:val="39"/>
              <w:rPr>
                <w:rFonts w:ascii="宋体" w:hAnsi="宋体"/>
                <w:sz w:val="21"/>
                <w:szCs w:val="21"/>
              </w:rPr>
            </w:pPr>
            <w:r>
              <w:rPr>
                <w:rFonts w:ascii="宋体" w:hAnsi="宋体"/>
                <w:sz w:val="21"/>
                <w:szCs w:val="21"/>
              </w:rPr>
              <w:t xml:space="preserve">0.9635 </w:t>
            </w:r>
          </w:p>
        </w:tc>
        <w:tc>
          <w:tcPr>
            <w:tcW w:w="789" w:type="dxa"/>
            <w:noWrap/>
            <w:tcMar>
              <w:left w:w="0" w:type="dxa"/>
              <w:right w:w="0" w:type="dxa"/>
            </w:tcMar>
          </w:tcPr>
          <w:p w14:paraId="5F1B90F2">
            <w:pPr>
              <w:pStyle w:val="39"/>
              <w:rPr>
                <w:rFonts w:ascii="宋体" w:hAnsi="宋体"/>
                <w:sz w:val="21"/>
                <w:szCs w:val="21"/>
              </w:rPr>
            </w:pPr>
            <w:r>
              <w:rPr>
                <w:rFonts w:ascii="宋体" w:hAnsi="宋体"/>
                <w:sz w:val="21"/>
                <w:szCs w:val="21"/>
              </w:rPr>
              <w:t xml:space="preserve">0.9071 </w:t>
            </w:r>
          </w:p>
        </w:tc>
        <w:tc>
          <w:tcPr>
            <w:tcW w:w="789" w:type="dxa"/>
            <w:noWrap/>
            <w:tcMar>
              <w:left w:w="0" w:type="dxa"/>
              <w:right w:w="0" w:type="dxa"/>
            </w:tcMar>
          </w:tcPr>
          <w:p w14:paraId="3F9487FA">
            <w:pPr>
              <w:pStyle w:val="39"/>
              <w:rPr>
                <w:rFonts w:ascii="宋体" w:hAnsi="宋体"/>
                <w:sz w:val="21"/>
                <w:szCs w:val="21"/>
              </w:rPr>
            </w:pPr>
            <w:r>
              <w:rPr>
                <w:rFonts w:ascii="宋体" w:hAnsi="宋体"/>
                <w:sz w:val="21"/>
                <w:szCs w:val="21"/>
              </w:rPr>
              <w:t xml:space="preserve">0.8567 </w:t>
            </w:r>
          </w:p>
        </w:tc>
        <w:tc>
          <w:tcPr>
            <w:tcW w:w="789" w:type="dxa"/>
            <w:noWrap/>
            <w:tcMar>
              <w:left w:w="0" w:type="dxa"/>
              <w:right w:w="0" w:type="dxa"/>
            </w:tcMar>
          </w:tcPr>
          <w:p w14:paraId="40316985">
            <w:pPr>
              <w:pStyle w:val="39"/>
              <w:rPr>
                <w:rFonts w:ascii="宋体" w:hAnsi="宋体"/>
                <w:sz w:val="21"/>
                <w:szCs w:val="21"/>
              </w:rPr>
            </w:pPr>
            <w:r>
              <w:rPr>
                <w:rFonts w:ascii="宋体" w:hAnsi="宋体"/>
                <w:sz w:val="21"/>
                <w:szCs w:val="21"/>
              </w:rPr>
              <w:t xml:space="preserve">0.8113 </w:t>
            </w:r>
          </w:p>
        </w:tc>
        <w:tc>
          <w:tcPr>
            <w:tcW w:w="789" w:type="dxa"/>
            <w:noWrap/>
            <w:tcMar>
              <w:left w:w="0" w:type="dxa"/>
              <w:right w:w="0" w:type="dxa"/>
            </w:tcMar>
          </w:tcPr>
          <w:p w14:paraId="42A9FC24">
            <w:pPr>
              <w:pStyle w:val="39"/>
              <w:rPr>
                <w:rFonts w:ascii="宋体" w:hAnsi="宋体"/>
                <w:sz w:val="21"/>
                <w:szCs w:val="21"/>
              </w:rPr>
            </w:pPr>
            <w:r>
              <w:rPr>
                <w:rFonts w:ascii="宋体" w:hAnsi="宋体"/>
                <w:sz w:val="21"/>
                <w:szCs w:val="21"/>
              </w:rPr>
              <w:t xml:space="preserve">0.7703 </w:t>
            </w:r>
          </w:p>
        </w:tc>
        <w:tc>
          <w:tcPr>
            <w:tcW w:w="789" w:type="dxa"/>
            <w:noWrap/>
            <w:tcMar>
              <w:left w:w="0" w:type="dxa"/>
              <w:right w:w="0" w:type="dxa"/>
            </w:tcMar>
          </w:tcPr>
          <w:p w14:paraId="0E3ACF57">
            <w:pPr>
              <w:pStyle w:val="39"/>
              <w:rPr>
                <w:rFonts w:ascii="宋体" w:hAnsi="宋体"/>
                <w:sz w:val="21"/>
                <w:szCs w:val="21"/>
              </w:rPr>
            </w:pPr>
            <w:r>
              <w:rPr>
                <w:rFonts w:ascii="宋体" w:hAnsi="宋体"/>
                <w:sz w:val="21"/>
                <w:szCs w:val="21"/>
              </w:rPr>
              <w:t xml:space="preserve">0.7331 </w:t>
            </w:r>
          </w:p>
        </w:tc>
        <w:tc>
          <w:tcPr>
            <w:tcW w:w="789" w:type="dxa"/>
            <w:noWrap/>
            <w:tcMar>
              <w:left w:w="0" w:type="dxa"/>
              <w:right w:w="0" w:type="dxa"/>
            </w:tcMar>
          </w:tcPr>
          <w:p w14:paraId="0131036B">
            <w:pPr>
              <w:pStyle w:val="39"/>
              <w:rPr>
                <w:rFonts w:ascii="宋体" w:hAnsi="宋体"/>
                <w:sz w:val="21"/>
                <w:szCs w:val="21"/>
              </w:rPr>
            </w:pPr>
            <w:r>
              <w:rPr>
                <w:rFonts w:ascii="宋体" w:hAnsi="宋体"/>
                <w:sz w:val="21"/>
                <w:szCs w:val="21"/>
              </w:rPr>
              <w:t xml:space="preserve">0.6992 </w:t>
            </w:r>
          </w:p>
        </w:tc>
      </w:tr>
      <w:tr w14:paraId="0CF31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91" w:type="dxa"/>
            <w:noWrap/>
            <w:tcMar>
              <w:left w:w="0" w:type="dxa"/>
              <w:right w:w="0" w:type="dxa"/>
            </w:tcMar>
          </w:tcPr>
          <w:p w14:paraId="12224628">
            <w:pPr>
              <w:pStyle w:val="39"/>
              <w:rPr>
                <w:rFonts w:ascii="宋体" w:hAnsi="宋体"/>
                <w:sz w:val="21"/>
                <w:szCs w:val="21"/>
              </w:rPr>
            </w:pPr>
            <w:r>
              <w:rPr>
                <w:rFonts w:ascii="宋体" w:hAnsi="宋体"/>
                <w:sz w:val="21"/>
                <w:szCs w:val="21"/>
              </w:rPr>
              <w:t xml:space="preserve">0.55 </w:t>
            </w:r>
          </w:p>
        </w:tc>
        <w:tc>
          <w:tcPr>
            <w:tcW w:w="791" w:type="dxa"/>
            <w:noWrap/>
            <w:tcMar>
              <w:left w:w="0" w:type="dxa"/>
              <w:right w:w="0" w:type="dxa"/>
            </w:tcMar>
          </w:tcPr>
          <w:p w14:paraId="47EA33CA">
            <w:pPr>
              <w:pStyle w:val="39"/>
              <w:rPr>
                <w:rFonts w:ascii="宋体" w:hAnsi="宋体"/>
                <w:sz w:val="21"/>
                <w:szCs w:val="21"/>
              </w:rPr>
            </w:pPr>
            <w:r>
              <w:rPr>
                <w:rFonts w:ascii="宋体" w:hAnsi="宋体"/>
                <w:sz w:val="21"/>
                <w:szCs w:val="21"/>
              </w:rPr>
              <w:t xml:space="preserve">1.3390 </w:t>
            </w:r>
          </w:p>
        </w:tc>
        <w:tc>
          <w:tcPr>
            <w:tcW w:w="791" w:type="dxa"/>
            <w:noWrap/>
            <w:tcMar>
              <w:left w:w="0" w:type="dxa"/>
              <w:right w:w="0" w:type="dxa"/>
            </w:tcMar>
          </w:tcPr>
          <w:p w14:paraId="7ED19C41">
            <w:pPr>
              <w:pStyle w:val="39"/>
              <w:rPr>
                <w:rFonts w:ascii="宋体" w:hAnsi="宋体"/>
                <w:sz w:val="21"/>
                <w:szCs w:val="21"/>
              </w:rPr>
            </w:pPr>
            <w:r>
              <w:rPr>
                <w:rFonts w:ascii="宋体" w:hAnsi="宋体"/>
                <w:sz w:val="21"/>
                <w:szCs w:val="21"/>
              </w:rPr>
              <w:t xml:space="preserve">1.2411 </w:t>
            </w:r>
          </w:p>
        </w:tc>
        <w:tc>
          <w:tcPr>
            <w:tcW w:w="791" w:type="dxa"/>
            <w:noWrap/>
            <w:tcMar>
              <w:left w:w="0" w:type="dxa"/>
              <w:right w:w="0" w:type="dxa"/>
            </w:tcMar>
          </w:tcPr>
          <w:p w14:paraId="4A645B94">
            <w:pPr>
              <w:pStyle w:val="39"/>
              <w:rPr>
                <w:rFonts w:ascii="宋体" w:hAnsi="宋体"/>
                <w:sz w:val="21"/>
                <w:szCs w:val="21"/>
              </w:rPr>
            </w:pPr>
            <w:r>
              <w:rPr>
                <w:rFonts w:ascii="宋体" w:hAnsi="宋体"/>
                <w:sz w:val="21"/>
                <w:szCs w:val="21"/>
              </w:rPr>
              <w:t xml:space="preserve">1.1558 </w:t>
            </w:r>
          </w:p>
        </w:tc>
        <w:tc>
          <w:tcPr>
            <w:tcW w:w="789" w:type="dxa"/>
            <w:noWrap/>
            <w:tcMar>
              <w:left w:w="0" w:type="dxa"/>
              <w:right w:w="0" w:type="dxa"/>
            </w:tcMar>
          </w:tcPr>
          <w:p w14:paraId="071A2140">
            <w:pPr>
              <w:pStyle w:val="39"/>
              <w:rPr>
                <w:rFonts w:ascii="宋体" w:hAnsi="宋体"/>
                <w:sz w:val="21"/>
                <w:szCs w:val="21"/>
              </w:rPr>
            </w:pPr>
            <w:r>
              <w:rPr>
                <w:rFonts w:ascii="宋体" w:hAnsi="宋体"/>
                <w:sz w:val="21"/>
                <w:szCs w:val="21"/>
              </w:rPr>
              <w:t xml:space="preserve">1.0808 </w:t>
            </w:r>
          </w:p>
        </w:tc>
        <w:tc>
          <w:tcPr>
            <w:tcW w:w="789" w:type="dxa"/>
            <w:noWrap/>
            <w:tcMar>
              <w:left w:w="0" w:type="dxa"/>
              <w:right w:w="0" w:type="dxa"/>
            </w:tcMar>
          </w:tcPr>
          <w:p w14:paraId="107A379F">
            <w:pPr>
              <w:pStyle w:val="39"/>
              <w:rPr>
                <w:rFonts w:ascii="宋体" w:hAnsi="宋体"/>
                <w:sz w:val="21"/>
                <w:szCs w:val="21"/>
              </w:rPr>
            </w:pPr>
            <w:r>
              <w:rPr>
                <w:rFonts w:ascii="宋体" w:hAnsi="宋体"/>
                <w:sz w:val="21"/>
                <w:szCs w:val="21"/>
              </w:rPr>
              <w:t xml:space="preserve">1.0146 </w:t>
            </w:r>
          </w:p>
        </w:tc>
        <w:tc>
          <w:tcPr>
            <w:tcW w:w="789" w:type="dxa"/>
            <w:noWrap/>
            <w:tcMar>
              <w:left w:w="0" w:type="dxa"/>
              <w:right w:w="0" w:type="dxa"/>
            </w:tcMar>
          </w:tcPr>
          <w:p w14:paraId="3BB4780C">
            <w:pPr>
              <w:pStyle w:val="39"/>
              <w:rPr>
                <w:rFonts w:ascii="宋体" w:hAnsi="宋体"/>
                <w:sz w:val="21"/>
                <w:szCs w:val="21"/>
              </w:rPr>
            </w:pPr>
            <w:r>
              <w:rPr>
                <w:rFonts w:ascii="宋体" w:hAnsi="宋体"/>
                <w:sz w:val="21"/>
                <w:szCs w:val="21"/>
              </w:rPr>
              <w:t xml:space="preserve">0.9556 </w:t>
            </w:r>
          </w:p>
        </w:tc>
        <w:tc>
          <w:tcPr>
            <w:tcW w:w="789" w:type="dxa"/>
            <w:noWrap/>
            <w:tcMar>
              <w:left w:w="0" w:type="dxa"/>
              <w:right w:w="0" w:type="dxa"/>
            </w:tcMar>
          </w:tcPr>
          <w:p w14:paraId="156E416C">
            <w:pPr>
              <w:pStyle w:val="39"/>
              <w:rPr>
                <w:rFonts w:ascii="宋体" w:hAnsi="宋体"/>
                <w:sz w:val="21"/>
                <w:szCs w:val="21"/>
              </w:rPr>
            </w:pPr>
            <w:r>
              <w:rPr>
                <w:rFonts w:ascii="宋体" w:hAnsi="宋体"/>
                <w:sz w:val="21"/>
                <w:szCs w:val="21"/>
              </w:rPr>
              <w:t xml:space="preserve">0.9029 </w:t>
            </w:r>
          </w:p>
        </w:tc>
        <w:tc>
          <w:tcPr>
            <w:tcW w:w="789" w:type="dxa"/>
            <w:noWrap/>
            <w:tcMar>
              <w:left w:w="0" w:type="dxa"/>
              <w:right w:w="0" w:type="dxa"/>
            </w:tcMar>
          </w:tcPr>
          <w:p w14:paraId="41D096A3">
            <w:pPr>
              <w:pStyle w:val="39"/>
              <w:rPr>
                <w:rFonts w:ascii="宋体" w:hAnsi="宋体"/>
                <w:sz w:val="21"/>
                <w:szCs w:val="21"/>
              </w:rPr>
            </w:pPr>
            <w:r>
              <w:rPr>
                <w:rFonts w:ascii="宋体" w:hAnsi="宋体"/>
                <w:sz w:val="21"/>
                <w:szCs w:val="21"/>
              </w:rPr>
              <w:t xml:space="preserve">0.8555 </w:t>
            </w:r>
          </w:p>
        </w:tc>
        <w:tc>
          <w:tcPr>
            <w:tcW w:w="789" w:type="dxa"/>
            <w:noWrap/>
            <w:tcMar>
              <w:left w:w="0" w:type="dxa"/>
              <w:right w:w="0" w:type="dxa"/>
            </w:tcMar>
          </w:tcPr>
          <w:p w14:paraId="7A2FD336">
            <w:pPr>
              <w:pStyle w:val="39"/>
              <w:rPr>
                <w:rFonts w:ascii="宋体" w:hAnsi="宋体"/>
                <w:sz w:val="21"/>
                <w:szCs w:val="21"/>
              </w:rPr>
            </w:pPr>
            <w:r>
              <w:rPr>
                <w:rFonts w:ascii="宋体" w:hAnsi="宋体"/>
                <w:sz w:val="21"/>
                <w:szCs w:val="21"/>
              </w:rPr>
              <w:t xml:space="preserve">0.8127 </w:t>
            </w:r>
          </w:p>
        </w:tc>
        <w:tc>
          <w:tcPr>
            <w:tcW w:w="789" w:type="dxa"/>
            <w:noWrap/>
            <w:tcMar>
              <w:left w:w="0" w:type="dxa"/>
              <w:right w:w="0" w:type="dxa"/>
            </w:tcMar>
          </w:tcPr>
          <w:p w14:paraId="17C6C351">
            <w:pPr>
              <w:pStyle w:val="39"/>
              <w:rPr>
                <w:rFonts w:ascii="宋体" w:hAnsi="宋体"/>
                <w:sz w:val="21"/>
                <w:szCs w:val="21"/>
              </w:rPr>
            </w:pPr>
            <w:r>
              <w:rPr>
                <w:rFonts w:ascii="宋体" w:hAnsi="宋体"/>
                <w:sz w:val="21"/>
                <w:szCs w:val="21"/>
              </w:rPr>
              <w:t xml:space="preserve">0.7739 </w:t>
            </w:r>
          </w:p>
        </w:tc>
        <w:tc>
          <w:tcPr>
            <w:tcW w:w="789" w:type="dxa"/>
            <w:noWrap/>
            <w:tcMar>
              <w:left w:w="0" w:type="dxa"/>
              <w:right w:w="0" w:type="dxa"/>
            </w:tcMar>
          </w:tcPr>
          <w:p w14:paraId="3F3FC847">
            <w:pPr>
              <w:pStyle w:val="39"/>
              <w:rPr>
                <w:rFonts w:ascii="宋体" w:hAnsi="宋体"/>
                <w:sz w:val="21"/>
                <w:szCs w:val="21"/>
              </w:rPr>
            </w:pPr>
            <w:r>
              <w:rPr>
                <w:rFonts w:ascii="宋体" w:hAnsi="宋体"/>
                <w:sz w:val="21"/>
                <w:szCs w:val="21"/>
              </w:rPr>
              <w:t xml:space="preserve">0.7386 </w:t>
            </w:r>
          </w:p>
        </w:tc>
      </w:tr>
      <w:tr w14:paraId="78B35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91" w:type="dxa"/>
            <w:noWrap/>
            <w:tcMar>
              <w:left w:w="0" w:type="dxa"/>
              <w:right w:w="0" w:type="dxa"/>
            </w:tcMar>
          </w:tcPr>
          <w:p w14:paraId="65623BC2">
            <w:pPr>
              <w:pStyle w:val="39"/>
              <w:rPr>
                <w:rFonts w:ascii="宋体" w:hAnsi="宋体"/>
                <w:sz w:val="21"/>
                <w:szCs w:val="21"/>
              </w:rPr>
            </w:pPr>
            <w:r>
              <w:rPr>
                <w:rFonts w:ascii="宋体" w:hAnsi="宋体"/>
                <w:sz w:val="21"/>
                <w:szCs w:val="21"/>
              </w:rPr>
              <w:t xml:space="preserve">0.60 </w:t>
            </w:r>
          </w:p>
        </w:tc>
        <w:tc>
          <w:tcPr>
            <w:tcW w:w="791" w:type="dxa"/>
            <w:noWrap/>
            <w:tcMar>
              <w:left w:w="0" w:type="dxa"/>
              <w:right w:w="0" w:type="dxa"/>
            </w:tcMar>
          </w:tcPr>
          <w:p w14:paraId="049B607D">
            <w:pPr>
              <w:pStyle w:val="39"/>
              <w:rPr>
                <w:rFonts w:ascii="宋体" w:hAnsi="宋体"/>
                <w:sz w:val="21"/>
                <w:szCs w:val="21"/>
              </w:rPr>
            </w:pPr>
            <w:r>
              <w:rPr>
                <w:rFonts w:ascii="宋体" w:hAnsi="宋体"/>
                <w:sz w:val="21"/>
                <w:szCs w:val="21"/>
              </w:rPr>
              <w:t xml:space="preserve">1.3919 </w:t>
            </w:r>
          </w:p>
        </w:tc>
        <w:tc>
          <w:tcPr>
            <w:tcW w:w="791" w:type="dxa"/>
            <w:noWrap/>
            <w:tcMar>
              <w:left w:w="0" w:type="dxa"/>
              <w:right w:w="0" w:type="dxa"/>
            </w:tcMar>
          </w:tcPr>
          <w:p w14:paraId="57D15B2C">
            <w:pPr>
              <w:pStyle w:val="39"/>
              <w:rPr>
                <w:rFonts w:ascii="宋体" w:hAnsi="宋体"/>
                <w:sz w:val="21"/>
                <w:szCs w:val="21"/>
              </w:rPr>
            </w:pPr>
            <w:r>
              <w:rPr>
                <w:rFonts w:ascii="宋体" w:hAnsi="宋体"/>
                <w:sz w:val="21"/>
                <w:szCs w:val="21"/>
              </w:rPr>
              <w:t xml:space="preserve">1.2908 </w:t>
            </w:r>
          </w:p>
        </w:tc>
        <w:tc>
          <w:tcPr>
            <w:tcW w:w="791" w:type="dxa"/>
            <w:noWrap/>
            <w:tcMar>
              <w:left w:w="0" w:type="dxa"/>
              <w:right w:w="0" w:type="dxa"/>
            </w:tcMar>
          </w:tcPr>
          <w:p w14:paraId="15A396EE">
            <w:pPr>
              <w:pStyle w:val="39"/>
              <w:rPr>
                <w:rFonts w:ascii="宋体" w:hAnsi="宋体"/>
                <w:sz w:val="21"/>
                <w:szCs w:val="21"/>
              </w:rPr>
            </w:pPr>
            <w:r>
              <w:rPr>
                <w:rFonts w:ascii="宋体" w:hAnsi="宋体"/>
                <w:sz w:val="21"/>
                <w:szCs w:val="21"/>
              </w:rPr>
              <w:t xml:space="preserve">1.2027 </w:t>
            </w:r>
          </w:p>
        </w:tc>
        <w:tc>
          <w:tcPr>
            <w:tcW w:w="789" w:type="dxa"/>
            <w:noWrap/>
            <w:tcMar>
              <w:left w:w="0" w:type="dxa"/>
              <w:right w:w="0" w:type="dxa"/>
            </w:tcMar>
          </w:tcPr>
          <w:p w14:paraId="3FE1EA2C">
            <w:pPr>
              <w:pStyle w:val="39"/>
              <w:rPr>
                <w:rFonts w:ascii="宋体" w:hAnsi="宋体"/>
                <w:sz w:val="21"/>
                <w:szCs w:val="21"/>
              </w:rPr>
            </w:pPr>
            <w:r>
              <w:rPr>
                <w:rFonts w:ascii="宋体" w:hAnsi="宋体"/>
                <w:sz w:val="21"/>
                <w:szCs w:val="21"/>
              </w:rPr>
              <w:t xml:space="preserve">1.1254 </w:t>
            </w:r>
          </w:p>
        </w:tc>
        <w:tc>
          <w:tcPr>
            <w:tcW w:w="789" w:type="dxa"/>
            <w:noWrap/>
            <w:tcMar>
              <w:left w:w="0" w:type="dxa"/>
              <w:right w:w="0" w:type="dxa"/>
            </w:tcMar>
          </w:tcPr>
          <w:p w14:paraId="58E17F49">
            <w:pPr>
              <w:pStyle w:val="39"/>
              <w:rPr>
                <w:rFonts w:ascii="宋体" w:hAnsi="宋体"/>
                <w:sz w:val="21"/>
                <w:szCs w:val="21"/>
              </w:rPr>
            </w:pPr>
            <w:r>
              <w:rPr>
                <w:rFonts w:ascii="宋体" w:hAnsi="宋体"/>
                <w:sz w:val="21"/>
                <w:szCs w:val="21"/>
              </w:rPr>
              <w:t xml:space="preserve">1.0570 </w:t>
            </w:r>
          </w:p>
        </w:tc>
        <w:tc>
          <w:tcPr>
            <w:tcW w:w="789" w:type="dxa"/>
            <w:noWrap/>
            <w:tcMar>
              <w:left w:w="0" w:type="dxa"/>
              <w:right w:w="0" w:type="dxa"/>
            </w:tcMar>
          </w:tcPr>
          <w:p w14:paraId="5DDD0389">
            <w:pPr>
              <w:pStyle w:val="39"/>
              <w:rPr>
                <w:rFonts w:ascii="宋体" w:hAnsi="宋体"/>
                <w:sz w:val="21"/>
                <w:szCs w:val="21"/>
              </w:rPr>
            </w:pPr>
            <w:r>
              <w:rPr>
                <w:rFonts w:ascii="宋体" w:hAnsi="宋体"/>
                <w:sz w:val="21"/>
                <w:szCs w:val="21"/>
              </w:rPr>
              <w:t xml:space="preserve">0.9963 </w:t>
            </w:r>
          </w:p>
        </w:tc>
        <w:tc>
          <w:tcPr>
            <w:tcW w:w="789" w:type="dxa"/>
            <w:noWrap/>
            <w:tcMar>
              <w:left w:w="0" w:type="dxa"/>
              <w:right w:w="0" w:type="dxa"/>
            </w:tcMar>
          </w:tcPr>
          <w:p w14:paraId="02DD8DD1">
            <w:pPr>
              <w:pStyle w:val="39"/>
              <w:rPr>
                <w:rFonts w:ascii="宋体" w:hAnsi="宋体"/>
                <w:sz w:val="21"/>
                <w:szCs w:val="21"/>
              </w:rPr>
            </w:pPr>
            <w:r>
              <w:rPr>
                <w:rFonts w:ascii="宋体" w:hAnsi="宋体"/>
                <w:sz w:val="21"/>
                <w:szCs w:val="21"/>
              </w:rPr>
              <w:t xml:space="preserve">0.9420 </w:t>
            </w:r>
          </w:p>
        </w:tc>
        <w:tc>
          <w:tcPr>
            <w:tcW w:w="789" w:type="dxa"/>
            <w:noWrap/>
            <w:tcMar>
              <w:left w:w="0" w:type="dxa"/>
              <w:right w:w="0" w:type="dxa"/>
            </w:tcMar>
          </w:tcPr>
          <w:p w14:paraId="089645C0">
            <w:pPr>
              <w:pStyle w:val="39"/>
              <w:rPr>
                <w:rFonts w:ascii="宋体" w:hAnsi="宋体"/>
                <w:sz w:val="21"/>
                <w:szCs w:val="21"/>
              </w:rPr>
            </w:pPr>
            <w:r>
              <w:rPr>
                <w:rFonts w:ascii="宋体" w:hAnsi="宋体"/>
                <w:sz w:val="21"/>
                <w:szCs w:val="21"/>
              </w:rPr>
              <w:t xml:space="preserve">0.8931 </w:t>
            </w:r>
          </w:p>
        </w:tc>
        <w:tc>
          <w:tcPr>
            <w:tcW w:w="789" w:type="dxa"/>
            <w:noWrap/>
            <w:tcMar>
              <w:left w:w="0" w:type="dxa"/>
              <w:right w:w="0" w:type="dxa"/>
            </w:tcMar>
          </w:tcPr>
          <w:p w14:paraId="07FE7A6C">
            <w:pPr>
              <w:pStyle w:val="39"/>
              <w:rPr>
                <w:rFonts w:ascii="宋体" w:hAnsi="宋体"/>
                <w:sz w:val="21"/>
                <w:szCs w:val="21"/>
              </w:rPr>
            </w:pPr>
            <w:r>
              <w:rPr>
                <w:rFonts w:ascii="宋体" w:hAnsi="宋体"/>
                <w:sz w:val="21"/>
                <w:szCs w:val="21"/>
              </w:rPr>
              <w:t xml:space="preserve">0.8491 </w:t>
            </w:r>
          </w:p>
        </w:tc>
        <w:tc>
          <w:tcPr>
            <w:tcW w:w="789" w:type="dxa"/>
            <w:noWrap/>
            <w:tcMar>
              <w:left w:w="0" w:type="dxa"/>
              <w:right w:w="0" w:type="dxa"/>
            </w:tcMar>
          </w:tcPr>
          <w:p w14:paraId="48AB3706">
            <w:pPr>
              <w:pStyle w:val="39"/>
              <w:rPr>
                <w:rFonts w:ascii="宋体" w:hAnsi="宋体"/>
                <w:sz w:val="21"/>
                <w:szCs w:val="21"/>
              </w:rPr>
            </w:pPr>
            <w:r>
              <w:rPr>
                <w:rFonts w:ascii="宋体" w:hAnsi="宋体"/>
                <w:sz w:val="21"/>
                <w:szCs w:val="21"/>
              </w:rPr>
              <w:t xml:space="preserve">0.8091 </w:t>
            </w:r>
          </w:p>
        </w:tc>
        <w:tc>
          <w:tcPr>
            <w:tcW w:w="789" w:type="dxa"/>
            <w:noWrap/>
            <w:tcMar>
              <w:left w:w="0" w:type="dxa"/>
              <w:right w:w="0" w:type="dxa"/>
            </w:tcMar>
          </w:tcPr>
          <w:p w14:paraId="6B6ABBCB">
            <w:pPr>
              <w:pStyle w:val="39"/>
              <w:rPr>
                <w:rFonts w:ascii="宋体" w:hAnsi="宋体"/>
                <w:sz w:val="21"/>
                <w:szCs w:val="21"/>
              </w:rPr>
            </w:pPr>
            <w:r>
              <w:rPr>
                <w:rFonts w:ascii="宋体" w:hAnsi="宋体"/>
                <w:sz w:val="21"/>
                <w:szCs w:val="21"/>
              </w:rPr>
              <w:t xml:space="preserve">0.7727 </w:t>
            </w:r>
          </w:p>
        </w:tc>
      </w:tr>
      <w:tr w14:paraId="4CE70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91" w:type="dxa"/>
            <w:noWrap/>
            <w:tcMar>
              <w:left w:w="0" w:type="dxa"/>
              <w:right w:w="0" w:type="dxa"/>
            </w:tcMar>
          </w:tcPr>
          <w:p w14:paraId="1289FB7A">
            <w:pPr>
              <w:pStyle w:val="39"/>
              <w:rPr>
                <w:rFonts w:ascii="宋体" w:hAnsi="宋体"/>
                <w:sz w:val="21"/>
                <w:szCs w:val="21"/>
              </w:rPr>
            </w:pPr>
            <w:r>
              <w:rPr>
                <w:rFonts w:ascii="宋体" w:hAnsi="宋体"/>
                <w:sz w:val="21"/>
                <w:szCs w:val="21"/>
              </w:rPr>
              <w:t xml:space="preserve">0.65 </w:t>
            </w:r>
          </w:p>
        </w:tc>
        <w:tc>
          <w:tcPr>
            <w:tcW w:w="791" w:type="dxa"/>
            <w:noWrap/>
            <w:tcMar>
              <w:left w:w="0" w:type="dxa"/>
              <w:right w:w="0" w:type="dxa"/>
            </w:tcMar>
          </w:tcPr>
          <w:p w14:paraId="528137FC">
            <w:pPr>
              <w:pStyle w:val="39"/>
              <w:rPr>
                <w:rFonts w:ascii="宋体" w:hAnsi="宋体"/>
                <w:sz w:val="21"/>
                <w:szCs w:val="21"/>
              </w:rPr>
            </w:pPr>
            <w:r>
              <w:rPr>
                <w:rFonts w:ascii="宋体" w:hAnsi="宋体"/>
                <w:sz w:val="21"/>
                <w:szCs w:val="21"/>
              </w:rPr>
              <w:t xml:space="preserve">1.4337 </w:t>
            </w:r>
          </w:p>
        </w:tc>
        <w:tc>
          <w:tcPr>
            <w:tcW w:w="791" w:type="dxa"/>
            <w:noWrap/>
            <w:tcMar>
              <w:left w:w="0" w:type="dxa"/>
              <w:right w:w="0" w:type="dxa"/>
            </w:tcMar>
          </w:tcPr>
          <w:p w14:paraId="424D8F05">
            <w:pPr>
              <w:pStyle w:val="39"/>
              <w:rPr>
                <w:rFonts w:ascii="宋体" w:hAnsi="宋体"/>
                <w:sz w:val="21"/>
                <w:szCs w:val="21"/>
              </w:rPr>
            </w:pPr>
            <w:r>
              <w:rPr>
                <w:rFonts w:ascii="宋体" w:hAnsi="宋体"/>
                <w:sz w:val="21"/>
                <w:szCs w:val="21"/>
              </w:rPr>
              <w:t xml:space="preserve">1.3305 </w:t>
            </w:r>
          </w:p>
        </w:tc>
        <w:tc>
          <w:tcPr>
            <w:tcW w:w="791" w:type="dxa"/>
            <w:noWrap/>
            <w:tcMar>
              <w:left w:w="0" w:type="dxa"/>
              <w:right w:w="0" w:type="dxa"/>
            </w:tcMar>
          </w:tcPr>
          <w:p w14:paraId="34748FCE">
            <w:pPr>
              <w:pStyle w:val="39"/>
              <w:rPr>
                <w:rFonts w:ascii="宋体" w:hAnsi="宋体"/>
                <w:sz w:val="21"/>
                <w:szCs w:val="21"/>
              </w:rPr>
            </w:pPr>
            <w:r>
              <w:rPr>
                <w:rFonts w:ascii="宋体" w:hAnsi="宋体"/>
                <w:sz w:val="21"/>
                <w:szCs w:val="21"/>
              </w:rPr>
              <w:t xml:space="preserve">1.2406 </w:t>
            </w:r>
          </w:p>
        </w:tc>
        <w:tc>
          <w:tcPr>
            <w:tcW w:w="789" w:type="dxa"/>
            <w:noWrap/>
            <w:tcMar>
              <w:left w:w="0" w:type="dxa"/>
              <w:right w:w="0" w:type="dxa"/>
            </w:tcMar>
          </w:tcPr>
          <w:p w14:paraId="76BD9545">
            <w:pPr>
              <w:pStyle w:val="39"/>
              <w:rPr>
                <w:rFonts w:ascii="宋体" w:hAnsi="宋体"/>
                <w:sz w:val="21"/>
                <w:szCs w:val="21"/>
              </w:rPr>
            </w:pPr>
            <w:r>
              <w:rPr>
                <w:rFonts w:ascii="宋体" w:hAnsi="宋体"/>
                <w:sz w:val="21"/>
                <w:szCs w:val="21"/>
              </w:rPr>
              <w:t xml:space="preserve">1.1617 </w:t>
            </w:r>
          </w:p>
        </w:tc>
        <w:tc>
          <w:tcPr>
            <w:tcW w:w="789" w:type="dxa"/>
            <w:noWrap/>
            <w:tcMar>
              <w:left w:w="0" w:type="dxa"/>
              <w:right w:w="0" w:type="dxa"/>
            </w:tcMar>
          </w:tcPr>
          <w:p w14:paraId="62146430">
            <w:pPr>
              <w:pStyle w:val="39"/>
              <w:rPr>
                <w:rFonts w:ascii="宋体" w:hAnsi="宋体"/>
                <w:sz w:val="21"/>
                <w:szCs w:val="21"/>
              </w:rPr>
            </w:pPr>
            <w:r>
              <w:rPr>
                <w:rFonts w:ascii="宋体" w:hAnsi="宋体"/>
                <w:sz w:val="21"/>
                <w:szCs w:val="21"/>
              </w:rPr>
              <w:t xml:space="preserve">1.0921 </w:t>
            </w:r>
          </w:p>
        </w:tc>
        <w:tc>
          <w:tcPr>
            <w:tcW w:w="789" w:type="dxa"/>
            <w:noWrap/>
            <w:tcMar>
              <w:left w:w="0" w:type="dxa"/>
              <w:right w:w="0" w:type="dxa"/>
            </w:tcMar>
          </w:tcPr>
          <w:p w14:paraId="43546379">
            <w:pPr>
              <w:pStyle w:val="39"/>
              <w:rPr>
                <w:rFonts w:ascii="宋体" w:hAnsi="宋体"/>
                <w:sz w:val="21"/>
                <w:szCs w:val="21"/>
              </w:rPr>
            </w:pPr>
            <w:r>
              <w:rPr>
                <w:rFonts w:ascii="宋体" w:hAnsi="宋体"/>
                <w:sz w:val="21"/>
                <w:szCs w:val="21"/>
              </w:rPr>
              <w:t xml:space="preserve">1.0301 </w:t>
            </w:r>
          </w:p>
        </w:tc>
        <w:tc>
          <w:tcPr>
            <w:tcW w:w="789" w:type="dxa"/>
            <w:noWrap/>
            <w:tcMar>
              <w:left w:w="0" w:type="dxa"/>
              <w:right w:w="0" w:type="dxa"/>
            </w:tcMar>
          </w:tcPr>
          <w:p w14:paraId="1778F13A">
            <w:pPr>
              <w:pStyle w:val="39"/>
              <w:rPr>
                <w:rFonts w:ascii="宋体" w:hAnsi="宋体"/>
                <w:sz w:val="21"/>
                <w:szCs w:val="21"/>
              </w:rPr>
            </w:pPr>
            <w:r>
              <w:rPr>
                <w:rFonts w:ascii="宋体" w:hAnsi="宋体"/>
                <w:sz w:val="21"/>
                <w:szCs w:val="21"/>
              </w:rPr>
              <w:t xml:space="preserve">0.9748 </w:t>
            </w:r>
          </w:p>
        </w:tc>
        <w:tc>
          <w:tcPr>
            <w:tcW w:w="789" w:type="dxa"/>
            <w:noWrap/>
            <w:tcMar>
              <w:left w:w="0" w:type="dxa"/>
              <w:right w:w="0" w:type="dxa"/>
            </w:tcMar>
          </w:tcPr>
          <w:p w14:paraId="15CAF080">
            <w:pPr>
              <w:pStyle w:val="39"/>
              <w:rPr>
                <w:rFonts w:ascii="宋体" w:hAnsi="宋体"/>
                <w:sz w:val="21"/>
                <w:szCs w:val="21"/>
              </w:rPr>
            </w:pPr>
            <w:r>
              <w:rPr>
                <w:rFonts w:ascii="宋体" w:hAnsi="宋体"/>
                <w:sz w:val="21"/>
                <w:szCs w:val="21"/>
              </w:rPr>
              <w:t xml:space="preserve">0.9251 </w:t>
            </w:r>
          </w:p>
        </w:tc>
        <w:tc>
          <w:tcPr>
            <w:tcW w:w="789" w:type="dxa"/>
            <w:noWrap/>
            <w:tcMar>
              <w:left w:w="0" w:type="dxa"/>
              <w:right w:w="0" w:type="dxa"/>
            </w:tcMar>
          </w:tcPr>
          <w:p w14:paraId="25791B58">
            <w:pPr>
              <w:pStyle w:val="39"/>
              <w:rPr>
                <w:rFonts w:ascii="宋体" w:hAnsi="宋体"/>
                <w:sz w:val="21"/>
                <w:szCs w:val="21"/>
              </w:rPr>
            </w:pPr>
            <w:r>
              <w:rPr>
                <w:rFonts w:ascii="宋体" w:hAnsi="宋体"/>
                <w:sz w:val="21"/>
                <w:szCs w:val="21"/>
              </w:rPr>
              <w:t xml:space="preserve">0.8802 </w:t>
            </w:r>
          </w:p>
        </w:tc>
        <w:tc>
          <w:tcPr>
            <w:tcW w:w="789" w:type="dxa"/>
            <w:noWrap/>
            <w:tcMar>
              <w:left w:w="0" w:type="dxa"/>
              <w:right w:w="0" w:type="dxa"/>
            </w:tcMar>
          </w:tcPr>
          <w:p w14:paraId="321AC554">
            <w:pPr>
              <w:pStyle w:val="39"/>
              <w:rPr>
                <w:rFonts w:ascii="宋体" w:hAnsi="宋体"/>
                <w:sz w:val="21"/>
                <w:szCs w:val="21"/>
              </w:rPr>
            </w:pPr>
            <w:r>
              <w:rPr>
                <w:rFonts w:ascii="宋体" w:hAnsi="宋体"/>
                <w:sz w:val="21"/>
                <w:szCs w:val="21"/>
              </w:rPr>
              <w:t xml:space="preserve">0.8395 </w:t>
            </w:r>
          </w:p>
        </w:tc>
        <w:tc>
          <w:tcPr>
            <w:tcW w:w="789" w:type="dxa"/>
            <w:noWrap/>
            <w:tcMar>
              <w:left w:w="0" w:type="dxa"/>
              <w:right w:w="0" w:type="dxa"/>
            </w:tcMar>
          </w:tcPr>
          <w:p w14:paraId="4810F07F">
            <w:pPr>
              <w:pStyle w:val="39"/>
              <w:rPr>
                <w:rFonts w:ascii="宋体" w:hAnsi="宋体"/>
                <w:sz w:val="21"/>
                <w:szCs w:val="21"/>
              </w:rPr>
            </w:pPr>
            <w:r>
              <w:rPr>
                <w:rFonts w:ascii="宋体" w:hAnsi="宋体"/>
                <w:sz w:val="21"/>
                <w:szCs w:val="21"/>
              </w:rPr>
              <w:t xml:space="preserve">0.8024 </w:t>
            </w:r>
          </w:p>
        </w:tc>
      </w:tr>
      <w:tr w14:paraId="065D6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91" w:type="dxa"/>
            <w:noWrap/>
            <w:tcMar>
              <w:left w:w="0" w:type="dxa"/>
              <w:right w:w="0" w:type="dxa"/>
            </w:tcMar>
          </w:tcPr>
          <w:p w14:paraId="5730BAEC">
            <w:pPr>
              <w:pStyle w:val="39"/>
              <w:rPr>
                <w:rFonts w:ascii="宋体" w:hAnsi="宋体"/>
                <w:sz w:val="21"/>
                <w:szCs w:val="21"/>
              </w:rPr>
            </w:pPr>
            <w:r>
              <w:rPr>
                <w:rFonts w:ascii="宋体" w:hAnsi="宋体"/>
                <w:sz w:val="21"/>
                <w:szCs w:val="21"/>
              </w:rPr>
              <w:t xml:space="preserve">0.70 </w:t>
            </w:r>
          </w:p>
        </w:tc>
        <w:tc>
          <w:tcPr>
            <w:tcW w:w="791" w:type="dxa"/>
            <w:noWrap/>
            <w:tcMar>
              <w:left w:w="0" w:type="dxa"/>
              <w:right w:w="0" w:type="dxa"/>
            </w:tcMar>
          </w:tcPr>
          <w:p w14:paraId="037FDCC2">
            <w:pPr>
              <w:pStyle w:val="39"/>
              <w:rPr>
                <w:rFonts w:ascii="宋体" w:hAnsi="宋体"/>
                <w:sz w:val="21"/>
                <w:szCs w:val="21"/>
              </w:rPr>
            </w:pPr>
            <w:r>
              <w:rPr>
                <w:rFonts w:ascii="宋体" w:hAnsi="宋体"/>
                <w:sz w:val="21"/>
                <w:szCs w:val="21"/>
              </w:rPr>
              <w:t xml:space="preserve">1.4657 </w:t>
            </w:r>
          </w:p>
        </w:tc>
        <w:tc>
          <w:tcPr>
            <w:tcW w:w="791" w:type="dxa"/>
            <w:noWrap/>
            <w:tcMar>
              <w:left w:w="0" w:type="dxa"/>
              <w:right w:w="0" w:type="dxa"/>
            </w:tcMar>
          </w:tcPr>
          <w:p w14:paraId="5B44BCF7">
            <w:pPr>
              <w:pStyle w:val="39"/>
              <w:rPr>
                <w:rFonts w:ascii="宋体" w:hAnsi="宋体"/>
                <w:sz w:val="21"/>
                <w:szCs w:val="21"/>
              </w:rPr>
            </w:pPr>
            <w:r>
              <w:rPr>
                <w:rFonts w:ascii="宋体" w:hAnsi="宋体"/>
                <w:sz w:val="21"/>
                <w:szCs w:val="21"/>
              </w:rPr>
              <w:t xml:space="preserve">1.3614 </w:t>
            </w:r>
          </w:p>
        </w:tc>
        <w:tc>
          <w:tcPr>
            <w:tcW w:w="791" w:type="dxa"/>
            <w:noWrap/>
            <w:tcMar>
              <w:left w:w="0" w:type="dxa"/>
              <w:right w:w="0" w:type="dxa"/>
            </w:tcMar>
          </w:tcPr>
          <w:p w14:paraId="77123C4C">
            <w:pPr>
              <w:pStyle w:val="39"/>
              <w:rPr>
                <w:rFonts w:ascii="宋体" w:hAnsi="宋体"/>
                <w:sz w:val="21"/>
                <w:szCs w:val="21"/>
              </w:rPr>
            </w:pPr>
            <w:r>
              <w:rPr>
                <w:rFonts w:ascii="宋体" w:hAnsi="宋体"/>
                <w:sz w:val="21"/>
                <w:szCs w:val="21"/>
              </w:rPr>
              <w:t xml:space="preserve">1.2706 </w:t>
            </w:r>
          </w:p>
        </w:tc>
        <w:tc>
          <w:tcPr>
            <w:tcW w:w="789" w:type="dxa"/>
            <w:noWrap/>
            <w:tcMar>
              <w:left w:w="0" w:type="dxa"/>
              <w:right w:w="0" w:type="dxa"/>
            </w:tcMar>
          </w:tcPr>
          <w:p w14:paraId="11A03762">
            <w:pPr>
              <w:pStyle w:val="39"/>
              <w:rPr>
                <w:rFonts w:ascii="宋体" w:hAnsi="宋体"/>
                <w:sz w:val="21"/>
                <w:szCs w:val="21"/>
              </w:rPr>
            </w:pPr>
            <w:r>
              <w:rPr>
                <w:rFonts w:ascii="宋体" w:hAnsi="宋体"/>
                <w:sz w:val="21"/>
                <w:szCs w:val="21"/>
              </w:rPr>
              <w:t xml:space="preserve">1.1909 </w:t>
            </w:r>
          </w:p>
        </w:tc>
        <w:tc>
          <w:tcPr>
            <w:tcW w:w="789" w:type="dxa"/>
            <w:noWrap/>
            <w:tcMar>
              <w:left w:w="0" w:type="dxa"/>
              <w:right w:w="0" w:type="dxa"/>
            </w:tcMar>
          </w:tcPr>
          <w:p w14:paraId="4A79632C">
            <w:pPr>
              <w:pStyle w:val="39"/>
              <w:rPr>
                <w:rFonts w:ascii="宋体" w:hAnsi="宋体"/>
                <w:sz w:val="21"/>
                <w:szCs w:val="21"/>
              </w:rPr>
            </w:pPr>
            <w:r>
              <w:rPr>
                <w:rFonts w:ascii="宋体" w:hAnsi="宋体"/>
                <w:sz w:val="21"/>
                <w:szCs w:val="21"/>
              </w:rPr>
              <w:t xml:space="preserve">1.1206 </w:t>
            </w:r>
          </w:p>
        </w:tc>
        <w:tc>
          <w:tcPr>
            <w:tcW w:w="789" w:type="dxa"/>
            <w:noWrap/>
            <w:tcMar>
              <w:left w:w="0" w:type="dxa"/>
              <w:right w:w="0" w:type="dxa"/>
            </w:tcMar>
          </w:tcPr>
          <w:p w14:paraId="2DDE6E25">
            <w:pPr>
              <w:pStyle w:val="39"/>
              <w:rPr>
                <w:rFonts w:ascii="宋体" w:hAnsi="宋体"/>
                <w:sz w:val="21"/>
                <w:szCs w:val="21"/>
              </w:rPr>
            </w:pPr>
            <w:r>
              <w:rPr>
                <w:rFonts w:ascii="宋体" w:hAnsi="宋体"/>
                <w:sz w:val="21"/>
                <w:szCs w:val="21"/>
              </w:rPr>
              <w:t xml:space="preserve">1.0581 </w:t>
            </w:r>
          </w:p>
        </w:tc>
        <w:tc>
          <w:tcPr>
            <w:tcW w:w="789" w:type="dxa"/>
            <w:noWrap/>
            <w:tcMar>
              <w:left w:w="0" w:type="dxa"/>
              <w:right w:w="0" w:type="dxa"/>
            </w:tcMar>
          </w:tcPr>
          <w:p w14:paraId="49344F24">
            <w:pPr>
              <w:pStyle w:val="39"/>
              <w:rPr>
                <w:rFonts w:ascii="宋体" w:hAnsi="宋体"/>
                <w:sz w:val="21"/>
                <w:szCs w:val="21"/>
              </w:rPr>
            </w:pPr>
            <w:r>
              <w:rPr>
                <w:rFonts w:ascii="宋体" w:hAnsi="宋体"/>
                <w:sz w:val="21"/>
                <w:szCs w:val="21"/>
              </w:rPr>
              <w:t xml:space="preserve">1.0022 </w:t>
            </w:r>
          </w:p>
        </w:tc>
        <w:tc>
          <w:tcPr>
            <w:tcW w:w="789" w:type="dxa"/>
            <w:noWrap/>
            <w:tcMar>
              <w:left w:w="0" w:type="dxa"/>
              <w:right w:w="0" w:type="dxa"/>
            </w:tcMar>
          </w:tcPr>
          <w:p w14:paraId="76CCFFC7">
            <w:pPr>
              <w:pStyle w:val="39"/>
              <w:rPr>
                <w:rFonts w:ascii="宋体" w:hAnsi="宋体"/>
                <w:sz w:val="21"/>
                <w:szCs w:val="21"/>
              </w:rPr>
            </w:pPr>
            <w:r>
              <w:rPr>
                <w:rFonts w:ascii="宋体" w:hAnsi="宋体"/>
                <w:sz w:val="21"/>
                <w:szCs w:val="21"/>
              </w:rPr>
              <w:t xml:space="preserve">0.9520 </w:t>
            </w:r>
          </w:p>
        </w:tc>
        <w:tc>
          <w:tcPr>
            <w:tcW w:w="789" w:type="dxa"/>
            <w:noWrap/>
            <w:tcMar>
              <w:left w:w="0" w:type="dxa"/>
              <w:right w:w="0" w:type="dxa"/>
            </w:tcMar>
          </w:tcPr>
          <w:p w14:paraId="317D5E1E">
            <w:pPr>
              <w:pStyle w:val="39"/>
              <w:rPr>
                <w:rFonts w:ascii="宋体" w:hAnsi="宋体"/>
                <w:sz w:val="21"/>
                <w:szCs w:val="21"/>
              </w:rPr>
            </w:pPr>
            <w:r>
              <w:rPr>
                <w:rFonts w:ascii="宋体" w:hAnsi="宋体"/>
                <w:sz w:val="21"/>
                <w:szCs w:val="21"/>
              </w:rPr>
              <w:t xml:space="preserve">0.9067 </w:t>
            </w:r>
          </w:p>
        </w:tc>
        <w:tc>
          <w:tcPr>
            <w:tcW w:w="789" w:type="dxa"/>
            <w:noWrap/>
            <w:tcMar>
              <w:left w:w="0" w:type="dxa"/>
              <w:right w:w="0" w:type="dxa"/>
            </w:tcMar>
          </w:tcPr>
          <w:p w14:paraId="3190833C">
            <w:pPr>
              <w:pStyle w:val="39"/>
              <w:rPr>
                <w:rFonts w:ascii="宋体" w:hAnsi="宋体"/>
                <w:sz w:val="21"/>
                <w:szCs w:val="21"/>
              </w:rPr>
            </w:pPr>
            <w:r>
              <w:rPr>
                <w:rFonts w:ascii="宋体" w:hAnsi="宋体"/>
                <w:sz w:val="21"/>
                <w:szCs w:val="21"/>
              </w:rPr>
              <w:t xml:space="preserve">0.8656 </w:t>
            </w:r>
          </w:p>
        </w:tc>
        <w:tc>
          <w:tcPr>
            <w:tcW w:w="789" w:type="dxa"/>
            <w:noWrap/>
            <w:tcMar>
              <w:left w:w="0" w:type="dxa"/>
              <w:right w:w="0" w:type="dxa"/>
            </w:tcMar>
          </w:tcPr>
          <w:p w14:paraId="10076293">
            <w:pPr>
              <w:pStyle w:val="39"/>
              <w:rPr>
                <w:rFonts w:ascii="宋体" w:hAnsi="宋体"/>
                <w:sz w:val="21"/>
                <w:szCs w:val="21"/>
              </w:rPr>
            </w:pPr>
            <w:r>
              <w:rPr>
                <w:rFonts w:ascii="宋体" w:hAnsi="宋体"/>
                <w:sz w:val="21"/>
                <w:szCs w:val="21"/>
              </w:rPr>
              <w:t xml:space="preserve">0.8281 </w:t>
            </w:r>
          </w:p>
        </w:tc>
      </w:tr>
      <w:tr w14:paraId="21586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91" w:type="dxa"/>
            <w:noWrap/>
            <w:tcMar>
              <w:left w:w="0" w:type="dxa"/>
              <w:right w:w="0" w:type="dxa"/>
            </w:tcMar>
          </w:tcPr>
          <w:p w14:paraId="48AD2975">
            <w:pPr>
              <w:pStyle w:val="39"/>
              <w:rPr>
                <w:rFonts w:ascii="宋体" w:hAnsi="宋体"/>
                <w:sz w:val="21"/>
                <w:szCs w:val="21"/>
              </w:rPr>
            </w:pPr>
            <w:r>
              <w:rPr>
                <w:rFonts w:ascii="宋体" w:hAnsi="宋体"/>
                <w:sz w:val="21"/>
                <w:szCs w:val="21"/>
              </w:rPr>
              <w:t xml:space="preserve">0.75 </w:t>
            </w:r>
          </w:p>
        </w:tc>
        <w:tc>
          <w:tcPr>
            <w:tcW w:w="791" w:type="dxa"/>
            <w:noWrap/>
            <w:tcMar>
              <w:left w:w="0" w:type="dxa"/>
              <w:right w:w="0" w:type="dxa"/>
            </w:tcMar>
          </w:tcPr>
          <w:p w14:paraId="361C4C24">
            <w:pPr>
              <w:pStyle w:val="39"/>
              <w:rPr>
                <w:rFonts w:ascii="宋体" w:hAnsi="宋体"/>
                <w:sz w:val="21"/>
                <w:szCs w:val="21"/>
              </w:rPr>
            </w:pPr>
            <w:r>
              <w:rPr>
                <w:rFonts w:ascii="宋体" w:hAnsi="宋体"/>
                <w:sz w:val="21"/>
                <w:szCs w:val="21"/>
              </w:rPr>
              <w:t xml:space="preserve">1.4891 </w:t>
            </w:r>
          </w:p>
        </w:tc>
        <w:tc>
          <w:tcPr>
            <w:tcW w:w="791" w:type="dxa"/>
            <w:noWrap/>
            <w:tcMar>
              <w:left w:w="0" w:type="dxa"/>
              <w:right w:w="0" w:type="dxa"/>
            </w:tcMar>
          </w:tcPr>
          <w:p w14:paraId="76A1C45C">
            <w:pPr>
              <w:pStyle w:val="39"/>
              <w:rPr>
                <w:rFonts w:ascii="宋体" w:hAnsi="宋体"/>
                <w:sz w:val="21"/>
                <w:szCs w:val="21"/>
              </w:rPr>
            </w:pPr>
            <w:r>
              <w:rPr>
                <w:rFonts w:ascii="宋体" w:hAnsi="宋体"/>
                <w:sz w:val="21"/>
                <w:szCs w:val="21"/>
              </w:rPr>
              <w:t xml:space="preserve">1.3845 </w:t>
            </w:r>
          </w:p>
        </w:tc>
        <w:tc>
          <w:tcPr>
            <w:tcW w:w="791" w:type="dxa"/>
            <w:noWrap/>
            <w:tcMar>
              <w:left w:w="0" w:type="dxa"/>
              <w:right w:w="0" w:type="dxa"/>
            </w:tcMar>
          </w:tcPr>
          <w:p w14:paraId="36F701F9">
            <w:pPr>
              <w:pStyle w:val="39"/>
              <w:rPr>
                <w:rFonts w:ascii="宋体" w:hAnsi="宋体"/>
                <w:sz w:val="21"/>
                <w:szCs w:val="21"/>
              </w:rPr>
            </w:pPr>
            <w:r>
              <w:rPr>
                <w:rFonts w:ascii="宋体" w:hAnsi="宋体"/>
                <w:sz w:val="21"/>
                <w:szCs w:val="21"/>
              </w:rPr>
              <w:t xml:space="preserve">1.2936 </w:t>
            </w:r>
          </w:p>
        </w:tc>
        <w:tc>
          <w:tcPr>
            <w:tcW w:w="789" w:type="dxa"/>
            <w:noWrap/>
            <w:tcMar>
              <w:left w:w="0" w:type="dxa"/>
              <w:right w:w="0" w:type="dxa"/>
            </w:tcMar>
          </w:tcPr>
          <w:p w14:paraId="3D136D5F">
            <w:pPr>
              <w:pStyle w:val="39"/>
              <w:rPr>
                <w:rFonts w:ascii="宋体" w:hAnsi="宋体"/>
                <w:sz w:val="21"/>
                <w:szCs w:val="21"/>
              </w:rPr>
            </w:pPr>
            <w:r>
              <w:rPr>
                <w:rFonts w:ascii="宋体" w:hAnsi="宋体"/>
                <w:sz w:val="21"/>
                <w:szCs w:val="21"/>
              </w:rPr>
              <w:t xml:space="preserve">1.2138 </w:t>
            </w:r>
          </w:p>
        </w:tc>
        <w:tc>
          <w:tcPr>
            <w:tcW w:w="789" w:type="dxa"/>
            <w:noWrap/>
            <w:tcMar>
              <w:left w:w="0" w:type="dxa"/>
              <w:right w:w="0" w:type="dxa"/>
            </w:tcMar>
          </w:tcPr>
          <w:p w14:paraId="2D57AD08">
            <w:pPr>
              <w:pStyle w:val="39"/>
              <w:rPr>
                <w:rFonts w:ascii="宋体" w:hAnsi="宋体"/>
                <w:sz w:val="21"/>
                <w:szCs w:val="21"/>
              </w:rPr>
            </w:pPr>
            <w:r>
              <w:rPr>
                <w:rFonts w:ascii="宋体" w:hAnsi="宋体"/>
                <w:sz w:val="21"/>
                <w:szCs w:val="21"/>
              </w:rPr>
              <w:t xml:space="preserve">1.1434 </w:t>
            </w:r>
          </w:p>
        </w:tc>
        <w:tc>
          <w:tcPr>
            <w:tcW w:w="789" w:type="dxa"/>
            <w:noWrap/>
            <w:tcMar>
              <w:left w:w="0" w:type="dxa"/>
              <w:right w:w="0" w:type="dxa"/>
            </w:tcMar>
          </w:tcPr>
          <w:p w14:paraId="1795C561">
            <w:pPr>
              <w:pStyle w:val="39"/>
              <w:rPr>
                <w:rFonts w:ascii="宋体" w:hAnsi="宋体"/>
                <w:sz w:val="21"/>
                <w:szCs w:val="21"/>
              </w:rPr>
            </w:pPr>
            <w:r>
              <w:rPr>
                <w:rFonts w:ascii="宋体" w:hAnsi="宋体"/>
                <w:sz w:val="21"/>
                <w:szCs w:val="21"/>
              </w:rPr>
              <w:t xml:space="preserve">1.0808 </w:t>
            </w:r>
          </w:p>
        </w:tc>
        <w:tc>
          <w:tcPr>
            <w:tcW w:w="789" w:type="dxa"/>
            <w:noWrap/>
            <w:tcMar>
              <w:left w:w="0" w:type="dxa"/>
              <w:right w:w="0" w:type="dxa"/>
            </w:tcMar>
          </w:tcPr>
          <w:p w14:paraId="67C1D9ED">
            <w:pPr>
              <w:pStyle w:val="39"/>
              <w:rPr>
                <w:rFonts w:ascii="宋体" w:hAnsi="宋体"/>
                <w:sz w:val="21"/>
                <w:szCs w:val="21"/>
              </w:rPr>
            </w:pPr>
            <w:r>
              <w:rPr>
                <w:rFonts w:ascii="宋体" w:hAnsi="宋体"/>
                <w:sz w:val="21"/>
                <w:szCs w:val="21"/>
              </w:rPr>
              <w:t xml:space="preserve">1.0249 </w:t>
            </w:r>
          </w:p>
        </w:tc>
        <w:tc>
          <w:tcPr>
            <w:tcW w:w="789" w:type="dxa"/>
            <w:noWrap/>
            <w:tcMar>
              <w:left w:w="0" w:type="dxa"/>
              <w:right w:w="0" w:type="dxa"/>
            </w:tcMar>
          </w:tcPr>
          <w:p w14:paraId="12D24213">
            <w:pPr>
              <w:pStyle w:val="39"/>
              <w:rPr>
                <w:rFonts w:ascii="宋体" w:hAnsi="宋体"/>
                <w:sz w:val="21"/>
                <w:szCs w:val="21"/>
              </w:rPr>
            </w:pPr>
            <w:r>
              <w:rPr>
                <w:rFonts w:ascii="宋体" w:hAnsi="宋体"/>
                <w:sz w:val="21"/>
                <w:szCs w:val="21"/>
              </w:rPr>
              <w:t xml:space="preserve">0.9746 </w:t>
            </w:r>
          </w:p>
        </w:tc>
        <w:tc>
          <w:tcPr>
            <w:tcW w:w="789" w:type="dxa"/>
            <w:noWrap/>
            <w:tcMar>
              <w:left w:w="0" w:type="dxa"/>
              <w:right w:w="0" w:type="dxa"/>
            </w:tcMar>
          </w:tcPr>
          <w:p w14:paraId="273D98BD">
            <w:pPr>
              <w:pStyle w:val="39"/>
              <w:rPr>
                <w:rFonts w:ascii="宋体" w:hAnsi="宋体"/>
                <w:sz w:val="21"/>
                <w:szCs w:val="21"/>
              </w:rPr>
            </w:pPr>
            <w:r>
              <w:rPr>
                <w:rFonts w:ascii="宋体" w:hAnsi="宋体"/>
                <w:sz w:val="21"/>
                <w:szCs w:val="21"/>
              </w:rPr>
              <w:t xml:space="preserve">0.9292 </w:t>
            </w:r>
          </w:p>
        </w:tc>
        <w:tc>
          <w:tcPr>
            <w:tcW w:w="789" w:type="dxa"/>
            <w:noWrap/>
            <w:tcMar>
              <w:left w:w="0" w:type="dxa"/>
              <w:right w:w="0" w:type="dxa"/>
            </w:tcMar>
          </w:tcPr>
          <w:p w14:paraId="0119493B">
            <w:pPr>
              <w:pStyle w:val="39"/>
              <w:rPr>
                <w:rFonts w:ascii="宋体" w:hAnsi="宋体"/>
                <w:sz w:val="21"/>
                <w:szCs w:val="21"/>
              </w:rPr>
            </w:pPr>
            <w:r>
              <w:rPr>
                <w:rFonts w:ascii="宋体" w:hAnsi="宋体"/>
                <w:sz w:val="21"/>
                <w:szCs w:val="21"/>
              </w:rPr>
              <w:t xml:space="preserve">0.8880 </w:t>
            </w:r>
          </w:p>
        </w:tc>
        <w:tc>
          <w:tcPr>
            <w:tcW w:w="789" w:type="dxa"/>
            <w:noWrap/>
            <w:tcMar>
              <w:left w:w="0" w:type="dxa"/>
              <w:right w:w="0" w:type="dxa"/>
            </w:tcMar>
          </w:tcPr>
          <w:p w14:paraId="421B033F">
            <w:pPr>
              <w:pStyle w:val="39"/>
              <w:rPr>
                <w:rFonts w:ascii="宋体" w:hAnsi="宋体"/>
                <w:sz w:val="21"/>
                <w:szCs w:val="21"/>
              </w:rPr>
            </w:pPr>
            <w:r>
              <w:rPr>
                <w:rFonts w:ascii="宋体" w:hAnsi="宋体"/>
                <w:sz w:val="21"/>
                <w:szCs w:val="21"/>
              </w:rPr>
              <w:t xml:space="preserve">0.8504 </w:t>
            </w:r>
          </w:p>
        </w:tc>
      </w:tr>
      <w:tr w14:paraId="62755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91" w:type="dxa"/>
            <w:noWrap/>
            <w:tcMar>
              <w:left w:w="0" w:type="dxa"/>
              <w:right w:w="0" w:type="dxa"/>
            </w:tcMar>
          </w:tcPr>
          <w:p w14:paraId="572E33C2">
            <w:pPr>
              <w:pStyle w:val="39"/>
              <w:rPr>
                <w:rFonts w:ascii="宋体" w:hAnsi="宋体"/>
                <w:sz w:val="21"/>
                <w:szCs w:val="21"/>
              </w:rPr>
            </w:pPr>
            <w:r>
              <w:rPr>
                <w:rFonts w:ascii="宋体" w:hAnsi="宋体"/>
                <w:sz w:val="21"/>
                <w:szCs w:val="21"/>
              </w:rPr>
              <w:t xml:space="preserve">0.80 </w:t>
            </w:r>
          </w:p>
        </w:tc>
        <w:tc>
          <w:tcPr>
            <w:tcW w:w="791" w:type="dxa"/>
            <w:noWrap/>
            <w:tcMar>
              <w:left w:w="0" w:type="dxa"/>
              <w:right w:w="0" w:type="dxa"/>
            </w:tcMar>
          </w:tcPr>
          <w:p w14:paraId="22846D19">
            <w:pPr>
              <w:pStyle w:val="39"/>
              <w:rPr>
                <w:rFonts w:ascii="宋体" w:hAnsi="宋体"/>
                <w:sz w:val="21"/>
                <w:szCs w:val="21"/>
              </w:rPr>
            </w:pPr>
            <w:r>
              <w:rPr>
                <w:rFonts w:ascii="宋体" w:hAnsi="宋体"/>
                <w:sz w:val="21"/>
                <w:szCs w:val="21"/>
              </w:rPr>
              <w:t xml:space="preserve">1.5049 </w:t>
            </w:r>
          </w:p>
        </w:tc>
        <w:tc>
          <w:tcPr>
            <w:tcW w:w="791" w:type="dxa"/>
            <w:noWrap/>
            <w:tcMar>
              <w:left w:w="0" w:type="dxa"/>
              <w:right w:w="0" w:type="dxa"/>
            </w:tcMar>
          </w:tcPr>
          <w:p w14:paraId="4D5A26D5">
            <w:pPr>
              <w:pStyle w:val="39"/>
              <w:rPr>
                <w:rFonts w:ascii="宋体" w:hAnsi="宋体"/>
                <w:sz w:val="21"/>
                <w:szCs w:val="21"/>
              </w:rPr>
            </w:pPr>
            <w:r>
              <w:rPr>
                <w:rFonts w:ascii="宋体" w:hAnsi="宋体"/>
                <w:sz w:val="21"/>
                <w:szCs w:val="21"/>
              </w:rPr>
              <w:t xml:space="preserve">1.4009 </w:t>
            </w:r>
          </w:p>
        </w:tc>
        <w:tc>
          <w:tcPr>
            <w:tcW w:w="791" w:type="dxa"/>
            <w:noWrap/>
            <w:tcMar>
              <w:left w:w="0" w:type="dxa"/>
              <w:right w:w="0" w:type="dxa"/>
            </w:tcMar>
          </w:tcPr>
          <w:p w14:paraId="16908F8D">
            <w:pPr>
              <w:pStyle w:val="39"/>
              <w:rPr>
                <w:rFonts w:ascii="宋体" w:hAnsi="宋体"/>
                <w:sz w:val="21"/>
                <w:szCs w:val="21"/>
              </w:rPr>
            </w:pPr>
            <w:r>
              <w:rPr>
                <w:rFonts w:ascii="宋体" w:hAnsi="宋体"/>
                <w:sz w:val="21"/>
                <w:szCs w:val="21"/>
              </w:rPr>
              <w:t xml:space="preserve">1.3105 </w:t>
            </w:r>
          </w:p>
        </w:tc>
        <w:tc>
          <w:tcPr>
            <w:tcW w:w="789" w:type="dxa"/>
            <w:noWrap/>
            <w:tcMar>
              <w:left w:w="0" w:type="dxa"/>
              <w:right w:w="0" w:type="dxa"/>
            </w:tcMar>
          </w:tcPr>
          <w:p w14:paraId="42DFC35A">
            <w:pPr>
              <w:pStyle w:val="39"/>
              <w:rPr>
                <w:rFonts w:ascii="宋体" w:hAnsi="宋体"/>
                <w:sz w:val="21"/>
                <w:szCs w:val="21"/>
              </w:rPr>
            </w:pPr>
            <w:r>
              <w:rPr>
                <w:rFonts w:ascii="宋体" w:hAnsi="宋体"/>
                <w:sz w:val="21"/>
                <w:szCs w:val="21"/>
              </w:rPr>
              <w:t xml:space="preserve">1.2312 </w:t>
            </w:r>
          </w:p>
        </w:tc>
        <w:tc>
          <w:tcPr>
            <w:tcW w:w="789" w:type="dxa"/>
            <w:noWrap/>
            <w:tcMar>
              <w:left w:w="0" w:type="dxa"/>
              <w:right w:w="0" w:type="dxa"/>
            </w:tcMar>
          </w:tcPr>
          <w:p w14:paraId="1D563734">
            <w:pPr>
              <w:pStyle w:val="39"/>
              <w:rPr>
                <w:rFonts w:ascii="宋体" w:hAnsi="宋体"/>
                <w:sz w:val="21"/>
                <w:szCs w:val="21"/>
              </w:rPr>
            </w:pPr>
            <w:r>
              <w:rPr>
                <w:rFonts w:ascii="宋体" w:hAnsi="宋体"/>
                <w:sz w:val="21"/>
                <w:szCs w:val="21"/>
              </w:rPr>
              <w:t xml:space="preserve">1.1612 </w:t>
            </w:r>
          </w:p>
        </w:tc>
        <w:tc>
          <w:tcPr>
            <w:tcW w:w="789" w:type="dxa"/>
            <w:noWrap/>
            <w:tcMar>
              <w:left w:w="0" w:type="dxa"/>
              <w:right w:w="0" w:type="dxa"/>
            </w:tcMar>
          </w:tcPr>
          <w:p w14:paraId="0F9081C3">
            <w:pPr>
              <w:pStyle w:val="39"/>
              <w:rPr>
                <w:rFonts w:ascii="宋体" w:hAnsi="宋体"/>
                <w:sz w:val="21"/>
                <w:szCs w:val="21"/>
              </w:rPr>
            </w:pPr>
            <w:r>
              <w:rPr>
                <w:rFonts w:ascii="宋体" w:hAnsi="宋体"/>
                <w:sz w:val="21"/>
                <w:szCs w:val="21"/>
              </w:rPr>
              <w:t xml:space="preserve">1.0990 </w:t>
            </w:r>
          </w:p>
        </w:tc>
        <w:tc>
          <w:tcPr>
            <w:tcW w:w="789" w:type="dxa"/>
            <w:noWrap/>
            <w:tcMar>
              <w:left w:w="0" w:type="dxa"/>
              <w:right w:w="0" w:type="dxa"/>
            </w:tcMar>
          </w:tcPr>
          <w:p w14:paraId="35CECE56">
            <w:pPr>
              <w:pStyle w:val="39"/>
              <w:rPr>
                <w:rFonts w:ascii="宋体" w:hAnsi="宋体"/>
                <w:sz w:val="21"/>
                <w:szCs w:val="21"/>
              </w:rPr>
            </w:pPr>
            <w:r>
              <w:rPr>
                <w:rFonts w:ascii="宋体" w:hAnsi="宋体"/>
                <w:sz w:val="21"/>
                <w:szCs w:val="21"/>
              </w:rPr>
              <w:t xml:space="preserve">1.0434 </w:t>
            </w:r>
          </w:p>
        </w:tc>
        <w:tc>
          <w:tcPr>
            <w:tcW w:w="789" w:type="dxa"/>
            <w:noWrap/>
            <w:tcMar>
              <w:left w:w="0" w:type="dxa"/>
              <w:right w:w="0" w:type="dxa"/>
            </w:tcMar>
          </w:tcPr>
          <w:p w14:paraId="59CE916E">
            <w:pPr>
              <w:pStyle w:val="39"/>
              <w:rPr>
                <w:rFonts w:ascii="宋体" w:hAnsi="宋体"/>
                <w:sz w:val="21"/>
                <w:szCs w:val="21"/>
              </w:rPr>
            </w:pPr>
            <w:r>
              <w:rPr>
                <w:rFonts w:ascii="宋体" w:hAnsi="宋体"/>
                <w:sz w:val="21"/>
                <w:szCs w:val="21"/>
              </w:rPr>
              <w:t xml:space="preserve">0.9933 </w:t>
            </w:r>
          </w:p>
        </w:tc>
        <w:tc>
          <w:tcPr>
            <w:tcW w:w="789" w:type="dxa"/>
            <w:noWrap/>
            <w:tcMar>
              <w:left w:w="0" w:type="dxa"/>
              <w:right w:w="0" w:type="dxa"/>
            </w:tcMar>
          </w:tcPr>
          <w:p w14:paraId="64AE2125">
            <w:pPr>
              <w:pStyle w:val="39"/>
              <w:rPr>
                <w:rFonts w:ascii="宋体" w:hAnsi="宋体"/>
                <w:sz w:val="21"/>
                <w:szCs w:val="21"/>
              </w:rPr>
            </w:pPr>
            <w:r>
              <w:rPr>
                <w:rFonts w:ascii="宋体" w:hAnsi="宋体"/>
                <w:sz w:val="21"/>
                <w:szCs w:val="21"/>
              </w:rPr>
              <w:t xml:space="preserve">0.9481 </w:t>
            </w:r>
          </w:p>
        </w:tc>
        <w:tc>
          <w:tcPr>
            <w:tcW w:w="789" w:type="dxa"/>
            <w:noWrap/>
            <w:tcMar>
              <w:left w:w="0" w:type="dxa"/>
              <w:right w:w="0" w:type="dxa"/>
            </w:tcMar>
          </w:tcPr>
          <w:p w14:paraId="073A6FC5">
            <w:pPr>
              <w:pStyle w:val="39"/>
              <w:rPr>
                <w:rFonts w:ascii="宋体" w:hAnsi="宋体"/>
                <w:sz w:val="21"/>
                <w:szCs w:val="21"/>
              </w:rPr>
            </w:pPr>
            <w:r>
              <w:rPr>
                <w:rFonts w:ascii="宋体" w:hAnsi="宋体"/>
                <w:sz w:val="21"/>
                <w:szCs w:val="21"/>
              </w:rPr>
              <w:t xml:space="preserve">0.9071 </w:t>
            </w:r>
          </w:p>
        </w:tc>
        <w:tc>
          <w:tcPr>
            <w:tcW w:w="789" w:type="dxa"/>
            <w:noWrap/>
            <w:tcMar>
              <w:left w:w="0" w:type="dxa"/>
              <w:right w:w="0" w:type="dxa"/>
            </w:tcMar>
          </w:tcPr>
          <w:p w14:paraId="67DE9E8C">
            <w:pPr>
              <w:pStyle w:val="39"/>
              <w:rPr>
                <w:rFonts w:ascii="宋体" w:hAnsi="宋体"/>
                <w:sz w:val="21"/>
                <w:szCs w:val="21"/>
              </w:rPr>
            </w:pPr>
            <w:r>
              <w:rPr>
                <w:rFonts w:ascii="宋体" w:hAnsi="宋体"/>
                <w:sz w:val="21"/>
                <w:szCs w:val="21"/>
              </w:rPr>
              <w:t xml:space="preserve">0.8696 </w:t>
            </w:r>
          </w:p>
        </w:tc>
      </w:tr>
      <w:tr w14:paraId="70C4A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91" w:type="dxa"/>
            <w:noWrap/>
            <w:tcMar>
              <w:left w:w="0" w:type="dxa"/>
              <w:right w:w="0" w:type="dxa"/>
            </w:tcMar>
          </w:tcPr>
          <w:p w14:paraId="4A19CB81">
            <w:pPr>
              <w:pStyle w:val="39"/>
              <w:rPr>
                <w:rFonts w:ascii="宋体" w:hAnsi="宋体"/>
                <w:sz w:val="21"/>
                <w:szCs w:val="21"/>
              </w:rPr>
            </w:pPr>
            <w:r>
              <w:rPr>
                <w:rFonts w:ascii="宋体" w:hAnsi="宋体"/>
                <w:sz w:val="21"/>
                <w:szCs w:val="21"/>
              </w:rPr>
              <w:t xml:space="preserve">0.85 </w:t>
            </w:r>
          </w:p>
        </w:tc>
        <w:tc>
          <w:tcPr>
            <w:tcW w:w="791" w:type="dxa"/>
            <w:noWrap/>
            <w:tcMar>
              <w:left w:w="0" w:type="dxa"/>
              <w:right w:w="0" w:type="dxa"/>
            </w:tcMar>
          </w:tcPr>
          <w:p w14:paraId="5AA0F1E6">
            <w:pPr>
              <w:pStyle w:val="39"/>
              <w:rPr>
                <w:rFonts w:ascii="宋体" w:hAnsi="宋体"/>
                <w:sz w:val="21"/>
                <w:szCs w:val="21"/>
              </w:rPr>
            </w:pPr>
            <w:r>
              <w:rPr>
                <w:rFonts w:ascii="宋体" w:hAnsi="宋体"/>
                <w:sz w:val="21"/>
                <w:szCs w:val="21"/>
              </w:rPr>
              <w:t xml:space="preserve">1.5140 </w:t>
            </w:r>
          </w:p>
        </w:tc>
        <w:tc>
          <w:tcPr>
            <w:tcW w:w="791" w:type="dxa"/>
            <w:noWrap/>
            <w:tcMar>
              <w:left w:w="0" w:type="dxa"/>
              <w:right w:w="0" w:type="dxa"/>
            </w:tcMar>
          </w:tcPr>
          <w:p w14:paraId="6B6CDCD1">
            <w:pPr>
              <w:pStyle w:val="39"/>
              <w:rPr>
                <w:rFonts w:ascii="宋体" w:hAnsi="宋体"/>
                <w:sz w:val="21"/>
                <w:szCs w:val="21"/>
              </w:rPr>
            </w:pPr>
            <w:r>
              <w:rPr>
                <w:rFonts w:ascii="宋体" w:hAnsi="宋体"/>
                <w:sz w:val="21"/>
                <w:szCs w:val="21"/>
              </w:rPr>
              <w:t xml:space="preserve">1.4113 </w:t>
            </w:r>
          </w:p>
        </w:tc>
        <w:tc>
          <w:tcPr>
            <w:tcW w:w="791" w:type="dxa"/>
            <w:noWrap/>
            <w:tcMar>
              <w:left w:w="0" w:type="dxa"/>
              <w:right w:w="0" w:type="dxa"/>
            </w:tcMar>
          </w:tcPr>
          <w:p w14:paraId="4A603D14">
            <w:pPr>
              <w:pStyle w:val="39"/>
              <w:rPr>
                <w:rFonts w:ascii="宋体" w:hAnsi="宋体"/>
                <w:sz w:val="21"/>
                <w:szCs w:val="21"/>
              </w:rPr>
            </w:pPr>
            <w:r>
              <w:rPr>
                <w:rFonts w:ascii="宋体" w:hAnsi="宋体"/>
                <w:sz w:val="21"/>
                <w:szCs w:val="21"/>
              </w:rPr>
              <w:t xml:space="preserve">1.3220 </w:t>
            </w:r>
          </w:p>
        </w:tc>
        <w:tc>
          <w:tcPr>
            <w:tcW w:w="789" w:type="dxa"/>
            <w:noWrap/>
            <w:tcMar>
              <w:left w:w="0" w:type="dxa"/>
              <w:right w:w="0" w:type="dxa"/>
            </w:tcMar>
          </w:tcPr>
          <w:p w14:paraId="69140B8B">
            <w:pPr>
              <w:pStyle w:val="39"/>
              <w:rPr>
                <w:rFonts w:ascii="宋体" w:hAnsi="宋体"/>
                <w:sz w:val="21"/>
                <w:szCs w:val="21"/>
              </w:rPr>
            </w:pPr>
            <w:r>
              <w:rPr>
                <w:rFonts w:ascii="宋体" w:hAnsi="宋体"/>
                <w:sz w:val="21"/>
                <w:szCs w:val="21"/>
              </w:rPr>
              <w:t xml:space="preserve">1.2437 </w:t>
            </w:r>
          </w:p>
        </w:tc>
        <w:tc>
          <w:tcPr>
            <w:tcW w:w="789" w:type="dxa"/>
            <w:noWrap/>
            <w:tcMar>
              <w:left w:w="0" w:type="dxa"/>
              <w:right w:w="0" w:type="dxa"/>
            </w:tcMar>
          </w:tcPr>
          <w:p w14:paraId="410BC730">
            <w:pPr>
              <w:pStyle w:val="39"/>
              <w:rPr>
                <w:rFonts w:ascii="宋体" w:hAnsi="宋体"/>
                <w:sz w:val="21"/>
                <w:szCs w:val="21"/>
              </w:rPr>
            </w:pPr>
            <w:r>
              <w:rPr>
                <w:rFonts w:ascii="宋体" w:hAnsi="宋体"/>
                <w:sz w:val="21"/>
                <w:szCs w:val="21"/>
              </w:rPr>
              <w:t xml:space="preserve">1.1746 </w:t>
            </w:r>
          </w:p>
        </w:tc>
        <w:tc>
          <w:tcPr>
            <w:tcW w:w="789" w:type="dxa"/>
            <w:noWrap/>
            <w:tcMar>
              <w:left w:w="0" w:type="dxa"/>
              <w:right w:w="0" w:type="dxa"/>
            </w:tcMar>
          </w:tcPr>
          <w:p w14:paraId="7BE5414B">
            <w:pPr>
              <w:pStyle w:val="39"/>
              <w:rPr>
                <w:rFonts w:ascii="宋体" w:hAnsi="宋体"/>
                <w:sz w:val="21"/>
                <w:szCs w:val="21"/>
              </w:rPr>
            </w:pPr>
            <w:r>
              <w:rPr>
                <w:rFonts w:ascii="宋体" w:hAnsi="宋体"/>
                <w:sz w:val="21"/>
                <w:szCs w:val="21"/>
              </w:rPr>
              <w:t xml:space="preserve">1.1131 </w:t>
            </w:r>
          </w:p>
        </w:tc>
        <w:tc>
          <w:tcPr>
            <w:tcW w:w="789" w:type="dxa"/>
            <w:noWrap/>
            <w:tcMar>
              <w:left w:w="0" w:type="dxa"/>
              <w:right w:w="0" w:type="dxa"/>
            </w:tcMar>
          </w:tcPr>
          <w:p w14:paraId="2506D7AE">
            <w:pPr>
              <w:pStyle w:val="39"/>
              <w:rPr>
                <w:rFonts w:ascii="宋体" w:hAnsi="宋体"/>
                <w:sz w:val="21"/>
                <w:szCs w:val="21"/>
              </w:rPr>
            </w:pPr>
            <w:r>
              <w:rPr>
                <w:rFonts w:ascii="宋体" w:hAnsi="宋体"/>
                <w:sz w:val="21"/>
                <w:szCs w:val="21"/>
              </w:rPr>
              <w:t xml:space="preserve">1.0582 </w:t>
            </w:r>
          </w:p>
        </w:tc>
        <w:tc>
          <w:tcPr>
            <w:tcW w:w="789" w:type="dxa"/>
            <w:noWrap/>
            <w:tcMar>
              <w:left w:w="0" w:type="dxa"/>
              <w:right w:w="0" w:type="dxa"/>
            </w:tcMar>
          </w:tcPr>
          <w:p w14:paraId="128CE463">
            <w:pPr>
              <w:pStyle w:val="39"/>
              <w:rPr>
                <w:rFonts w:ascii="宋体" w:hAnsi="宋体"/>
                <w:sz w:val="21"/>
                <w:szCs w:val="21"/>
              </w:rPr>
            </w:pPr>
            <w:r>
              <w:rPr>
                <w:rFonts w:ascii="宋体" w:hAnsi="宋体"/>
                <w:sz w:val="21"/>
                <w:szCs w:val="21"/>
              </w:rPr>
              <w:t xml:space="preserve">1.0087 </w:t>
            </w:r>
          </w:p>
        </w:tc>
        <w:tc>
          <w:tcPr>
            <w:tcW w:w="789" w:type="dxa"/>
            <w:noWrap/>
            <w:tcMar>
              <w:left w:w="0" w:type="dxa"/>
              <w:right w:w="0" w:type="dxa"/>
            </w:tcMar>
          </w:tcPr>
          <w:p w14:paraId="422269F4">
            <w:pPr>
              <w:pStyle w:val="39"/>
              <w:rPr>
                <w:rFonts w:ascii="宋体" w:hAnsi="宋体"/>
                <w:sz w:val="21"/>
                <w:szCs w:val="21"/>
              </w:rPr>
            </w:pPr>
            <w:r>
              <w:rPr>
                <w:rFonts w:ascii="宋体" w:hAnsi="宋体"/>
                <w:sz w:val="21"/>
                <w:szCs w:val="21"/>
              </w:rPr>
              <w:t xml:space="preserve">0.9640 </w:t>
            </w:r>
          </w:p>
        </w:tc>
        <w:tc>
          <w:tcPr>
            <w:tcW w:w="789" w:type="dxa"/>
            <w:noWrap/>
            <w:tcMar>
              <w:left w:w="0" w:type="dxa"/>
              <w:right w:w="0" w:type="dxa"/>
            </w:tcMar>
          </w:tcPr>
          <w:p w14:paraId="3D479420">
            <w:pPr>
              <w:pStyle w:val="39"/>
              <w:rPr>
                <w:rFonts w:ascii="宋体" w:hAnsi="宋体"/>
                <w:sz w:val="21"/>
                <w:szCs w:val="21"/>
              </w:rPr>
            </w:pPr>
            <w:r>
              <w:rPr>
                <w:rFonts w:ascii="宋体" w:hAnsi="宋体"/>
                <w:sz w:val="21"/>
                <w:szCs w:val="21"/>
              </w:rPr>
              <w:t xml:space="preserve">0.9233 </w:t>
            </w:r>
          </w:p>
        </w:tc>
        <w:tc>
          <w:tcPr>
            <w:tcW w:w="789" w:type="dxa"/>
            <w:noWrap/>
            <w:tcMar>
              <w:left w:w="0" w:type="dxa"/>
              <w:right w:w="0" w:type="dxa"/>
            </w:tcMar>
          </w:tcPr>
          <w:p w14:paraId="7E0A6B55">
            <w:pPr>
              <w:pStyle w:val="39"/>
              <w:rPr>
                <w:rFonts w:ascii="宋体" w:hAnsi="宋体"/>
                <w:sz w:val="21"/>
                <w:szCs w:val="21"/>
              </w:rPr>
            </w:pPr>
            <w:r>
              <w:rPr>
                <w:rFonts w:ascii="宋体" w:hAnsi="宋体"/>
                <w:sz w:val="21"/>
                <w:szCs w:val="21"/>
              </w:rPr>
              <w:t xml:space="preserve">0.8862 </w:t>
            </w:r>
          </w:p>
        </w:tc>
      </w:tr>
      <w:tr w14:paraId="104AB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91" w:type="dxa"/>
            <w:noWrap/>
            <w:tcMar>
              <w:left w:w="0" w:type="dxa"/>
              <w:right w:w="0" w:type="dxa"/>
            </w:tcMar>
          </w:tcPr>
          <w:p w14:paraId="43878DA6">
            <w:pPr>
              <w:pStyle w:val="39"/>
              <w:rPr>
                <w:rFonts w:ascii="宋体" w:hAnsi="宋体"/>
                <w:sz w:val="21"/>
                <w:szCs w:val="21"/>
              </w:rPr>
            </w:pPr>
            <w:r>
              <w:rPr>
                <w:rFonts w:ascii="宋体" w:hAnsi="宋体"/>
                <w:sz w:val="21"/>
                <w:szCs w:val="21"/>
              </w:rPr>
              <w:t xml:space="preserve">0.90 </w:t>
            </w:r>
          </w:p>
        </w:tc>
        <w:tc>
          <w:tcPr>
            <w:tcW w:w="791" w:type="dxa"/>
            <w:noWrap/>
            <w:tcMar>
              <w:left w:w="0" w:type="dxa"/>
              <w:right w:w="0" w:type="dxa"/>
            </w:tcMar>
          </w:tcPr>
          <w:p w14:paraId="4251F7F0">
            <w:pPr>
              <w:pStyle w:val="39"/>
              <w:rPr>
                <w:rFonts w:ascii="宋体" w:hAnsi="宋体"/>
                <w:sz w:val="21"/>
                <w:szCs w:val="21"/>
              </w:rPr>
            </w:pPr>
            <w:r>
              <w:rPr>
                <w:rFonts w:ascii="宋体" w:hAnsi="宋体"/>
                <w:sz w:val="21"/>
                <w:szCs w:val="21"/>
              </w:rPr>
              <w:t xml:space="preserve">1.5171 </w:t>
            </w:r>
          </w:p>
        </w:tc>
        <w:tc>
          <w:tcPr>
            <w:tcW w:w="791" w:type="dxa"/>
            <w:noWrap/>
            <w:tcMar>
              <w:left w:w="0" w:type="dxa"/>
              <w:right w:w="0" w:type="dxa"/>
            </w:tcMar>
          </w:tcPr>
          <w:p w14:paraId="5DA19BD6">
            <w:pPr>
              <w:pStyle w:val="39"/>
              <w:rPr>
                <w:rFonts w:ascii="宋体" w:hAnsi="宋体"/>
                <w:sz w:val="21"/>
                <w:szCs w:val="21"/>
              </w:rPr>
            </w:pPr>
            <w:r>
              <w:rPr>
                <w:rFonts w:ascii="宋体" w:hAnsi="宋体"/>
                <w:sz w:val="21"/>
                <w:szCs w:val="21"/>
              </w:rPr>
              <w:t xml:space="preserve">1.4164 </w:t>
            </w:r>
          </w:p>
        </w:tc>
        <w:tc>
          <w:tcPr>
            <w:tcW w:w="791" w:type="dxa"/>
            <w:noWrap/>
            <w:tcMar>
              <w:left w:w="0" w:type="dxa"/>
              <w:right w:w="0" w:type="dxa"/>
            </w:tcMar>
          </w:tcPr>
          <w:p w14:paraId="1BE43EEE">
            <w:pPr>
              <w:pStyle w:val="39"/>
              <w:rPr>
                <w:rFonts w:ascii="宋体" w:hAnsi="宋体"/>
                <w:sz w:val="21"/>
                <w:szCs w:val="21"/>
              </w:rPr>
            </w:pPr>
            <w:r>
              <w:rPr>
                <w:rFonts w:ascii="宋体" w:hAnsi="宋体"/>
                <w:sz w:val="21"/>
                <w:szCs w:val="21"/>
              </w:rPr>
              <w:t xml:space="preserve">1.3288 </w:t>
            </w:r>
          </w:p>
        </w:tc>
        <w:tc>
          <w:tcPr>
            <w:tcW w:w="789" w:type="dxa"/>
            <w:noWrap/>
            <w:tcMar>
              <w:left w:w="0" w:type="dxa"/>
              <w:right w:w="0" w:type="dxa"/>
            </w:tcMar>
          </w:tcPr>
          <w:p w14:paraId="1E4EF04D">
            <w:pPr>
              <w:pStyle w:val="39"/>
              <w:rPr>
                <w:rFonts w:ascii="宋体" w:hAnsi="宋体"/>
                <w:sz w:val="21"/>
                <w:szCs w:val="21"/>
              </w:rPr>
            </w:pPr>
            <w:r>
              <w:rPr>
                <w:rFonts w:ascii="宋体" w:hAnsi="宋体"/>
                <w:sz w:val="21"/>
                <w:szCs w:val="21"/>
              </w:rPr>
              <w:t xml:space="preserve">1.2520 </w:t>
            </w:r>
          </w:p>
        </w:tc>
        <w:tc>
          <w:tcPr>
            <w:tcW w:w="789" w:type="dxa"/>
            <w:noWrap/>
            <w:tcMar>
              <w:left w:w="0" w:type="dxa"/>
              <w:right w:w="0" w:type="dxa"/>
            </w:tcMar>
          </w:tcPr>
          <w:p w14:paraId="55658A85">
            <w:pPr>
              <w:pStyle w:val="39"/>
              <w:rPr>
                <w:rFonts w:ascii="宋体" w:hAnsi="宋体"/>
                <w:sz w:val="21"/>
                <w:szCs w:val="21"/>
              </w:rPr>
            </w:pPr>
            <w:r>
              <w:rPr>
                <w:rFonts w:ascii="宋体" w:hAnsi="宋体"/>
                <w:sz w:val="21"/>
                <w:szCs w:val="21"/>
              </w:rPr>
              <w:t xml:space="preserve">1.1841 </w:t>
            </w:r>
          </w:p>
        </w:tc>
        <w:tc>
          <w:tcPr>
            <w:tcW w:w="789" w:type="dxa"/>
            <w:noWrap/>
            <w:tcMar>
              <w:left w:w="0" w:type="dxa"/>
              <w:right w:w="0" w:type="dxa"/>
            </w:tcMar>
          </w:tcPr>
          <w:p w14:paraId="337FF446">
            <w:pPr>
              <w:pStyle w:val="39"/>
              <w:rPr>
                <w:rFonts w:ascii="宋体" w:hAnsi="宋体"/>
                <w:sz w:val="21"/>
                <w:szCs w:val="21"/>
              </w:rPr>
            </w:pPr>
            <w:r>
              <w:rPr>
                <w:rFonts w:ascii="宋体" w:hAnsi="宋体"/>
                <w:sz w:val="21"/>
                <w:szCs w:val="21"/>
              </w:rPr>
              <w:t xml:space="preserve">1.1238 </w:t>
            </w:r>
          </w:p>
        </w:tc>
        <w:tc>
          <w:tcPr>
            <w:tcW w:w="789" w:type="dxa"/>
            <w:noWrap/>
            <w:tcMar>
              <w:left w:w="0" w:type="dxa"/>
              <w:right w:w="0" w:type="dxa"/>
            </w:tcMar>
          </w:tcPr>
          <w:p w14:paraId="4ECAE0BE">
            <w:pPr>
              <w:pStyle w:val="39"/>
              <w:rPr>
                <w:rFonts w:ascii="宋体" w:hAnsi="宋体"/>
                <w:sz w:val="21"/>
                <w:szCs w:val="21"/>
              </w:rPr>
            </w:pPr>
            <w:r>
              <w:rPr>
                <w:rFonts w:ascii="宋体" w:hAnsi="宋体"/>
                <w:sz w:val="21"/>
                <w:szCs w:val="21"/>
              </w:rPr>
              <w:t xml:space="preserve">1.0698 </w:t>
            </w:r>
          </w:p>
        </w:tc>
        <w:tc>
          <w:tcPr>
            <w:tcW w:w="789" w:type="dxa"/>
            <w:noWrap/>
            <w:tcMar>
              <w:left w:w="0" w:type="dxa"/>
              <w:right w:w="0" w:type="dxa"/>
            </w:tcMar>
          </w:tcPr>
          <w:p w14:paraId="581CC585">
            <w:pPr>
              <w:pStyle w:val="39"/>
              <w:rPr>
                <w:rFonts w:ascii="宋体" w:hAnsi="宋体"/>
                <w:sz w:val="21"/>
                <w:szCs w:val="21"/>
              </w:rPr>
            </w:pPr>
            <w:r>
              <w:rPr>
                <w:rFonts w:ascii="宋体" w:hAnsi="宋体"/>
                <w:sz w:val="21"/>
                <w:szCs w:val="21"/>
              </w:rPr>
              <w:t xml:space="preserve">1.0212 </w:t>
            </w:r>
          </w:p>
        </w:tc>
        <w:tc>
          <w:tcPr>
            <w:tcW w:w="789" w:type="dxa"/>
            <w:noWrap/>
            <w:tcMar>
              <w:left w:w="0" w:type="dxa"/>
              <w:right w:w="0" w:type="dxa"/>
            </w:tcMar>
          </w:tcPr>
          <w:p w14:paraId="62D259C1">
            <w:pPr>
              <w:pStyle w:val="39"/>
              <w:rPr>
                <w:rFonts w:ascii="宋体" w:hAnsi="宋体"/>
                <w:sz w:val="21"/>
                <w:szCs w:val="21"/>
              </w:rPr>
            </w:pPr>
            <w:r>
              <w:rPr>
                <w:rFonts w:ascii="宋体" w:hAnsi="宋体"/>
                <w:sz w:val="21"/>
                <w:szCs w:val="21"/>
              </w:rPr>
              <w:t xml:space="preserve">0.9771 </w:t>
            </w:r>
          </w:p>
        </w:tc>
        <w:tc>
          <w:tcPr>
            <w:tcW w:w="789" w:type="dxa"/>
            <w:noWrap/>
            <w:tcMar>
              <w:left w:w="0" w:type="dxa"/>
              <w:right w:w="0" w:type="dxa"/>
            </w:tcMar>
          </w:tcPr>
          <w:p w14:paraId="3ACA242B">
            <w:pPr>
              <w:pStyle w:val="39"/>
              <w:rPr>
                <w:rFonts w:ascii="宋体" w:hAnsi="宋体"/>
                <w:sz w:val="21"/>
                <w:szCs w:val="21"/>
              </w:rPr>
            </w:pPr>
            <w:r>
              <w:rPr>
                <w:rFonts w:ascii="宋体" w:hAnsi="宋体"/>
                <w:sz w:val="21"/>
                <w:szCs w:val="21"/>
              </w:rPr>
              <w:t xml:space="preserve">0.9371 </w:t>
            </w:r>
          </w:p>
        </w:tc>
        <w:tc>
          <w:tcPr>
            <w:tcW w:w="789" w:type="dxa"/>
            <w:noWrap/>
            <w:tcMar>
              <w:left w:w="0" w:type="dxa"/>
              <w:right w:w="0" w:type="dxa"/>
            </w:tcMar>
          </w:tcPr>
          <w:p w14:paraId="77DA6467">
            <w:pPr>
              <w:pStyle w:val="39"/>
              <w:rPr>
                <w:rFonts w:ascii="宋体" w:hAnsi="宋体"/>
                <w:sz w:val="21"/>
                <w:szCs w:val="21"/>
              </w:rPr>
            </w:pPr>
            <w:r>
              <w:rPr>
                <w:rFonts w:ascii="宋体" w:hAnsi="宋体"/>
                <w:sz w:val="21"/>
                <w:szCs w:val="21"/>
              </w:rPr>
              <w:t xml:space="preserve">0.9005 </w:t>
            </w:r>
          </w:p>
        </w:tc>
      </w:tr>
      <w:tr w14:paraId="78C43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91" w:type="dxa"/>
            <w:noWrap/>
            <w:tcMar>
              <w:left w:w="0" w:type="dxa"/>
              <w:right w:w="0" w:type="dxa"/>
            </w:tcMar>
          </w:tcPr>
          <w:p w14:paraId="1DF4EB4F">
            <w:pPr>
              <w:pStyle w:val="39"/>
              <w:rPr>
                <w:rFonts w:ascii="宋体" w:hAnsi="宋体"/>
                <w:sz w:val="21"/>
                <w:szCs w:val="21"/>
              </w:rPr>
            </w:pPr>
            <w:r>
              <w:rPr>
                <w:rFonts w:ascii="宋体" w:hAnsi="宋体"/>
                <w:sz w:val="21"/>
                <w:szCs w:val="21"/>
              </w:rPr>
              <w:t xml:space="preserve">0.95 </w:t>
            </w:r>
          </w:p>
        </w:tc>
        <w:tc>
          <w:tcPr>
            <w:tcW w:w="791" w:type="dxa"/>
            <w:noWrap/>
            <w:tcMar>
              <w:left w:w="0" w:type="dxa"/>
              <w:right w:w="0" w:type="dxa"/>
            </w:tcMar>
          </w:tcPr>
          <w:p w14:paraId="57F3F649">
            <w:pPr>
              <w:pStyle w:val="39"/>
              <w:rPr>
                <w:rFonts w:ascii="宋体" w:hAnsi="宋体"/>
                <w:sz w:val="21"/>
                <w:szCs w:val="21"/>
              </w:rPr>
            </w:pPr>
            <w:r>
              <w:rPr>
                <w:rFonts w:ascii="宋体" w:hAnsi="宋体"/>
                <w:sz w:val="21"/>
                <w:szCs w:val="21"/>
              </w:rPr>
              <w:t xml:space="preserve">1.5151 </w:t>
            </w:r>
          </w:p>
        </w:tc>
        <w:tc>
          <w:tcPr>
            <w:tcW w:w="791" w:type="dxa"/>
            <w:noWrap/>
            <w:tcMar>
              <w:left w:w="0" w:type="dxa"/>
              <w:right w:w="0" w:type="dxa"/>
            </w:tcMar>
          </w:tcPr>
          <w:p w14:paraId="453C3E63">
            <w:pPr>
              <w:pStyle w:val="39"/>
              <w:rPr>
                <w:rFonts w:ascii="宋体" w:hAnsi="宋体"/>
                <w:sz w:val="21"/>
                <w:szCs w:val="21"/>
              </w:rPr>
            </w:pPr>
            <w:r>
              <w:rPr>
                <w:rFonts w:ascii="宋体" w:hAnsi="宋体"/>
                <w:sz w:val="21"/>
                <w:szCs w:val="21"/>
              </w:rPr>
              <w:t xml:space="preserve">1.4168 </w:t>
            </w:r>
          </w:p>
        </w:tc>
        <w:tc>
          <w:tcPr>
            <w:tcW w:w="791" w:type="dxa"/>
            <w:noWrap/>
            <w:tcMar>
              <w:left w:w="0" w:type="dxa"/>
              <w:right w:w="0" w:type="dxa"/>
            </w:tcMar>
          </w:tcPr>
          <w:p w14:paraId="33323D13">
            <w:pPr>
              <w:pStyle w:val="39"/>
              <w:rPr>
                <w:rFonts w:ascii="宋体" w:hAnsi="宋体"/>
                <w:sz w:val="21"/>
                <w:szCs w:val="21"/>
              </w:rPr>
            </w:pPr>
            <w:r>
              <w:rPr>
                <w:rFonts w:ascii="宋体" w:hAnsi="宋体"/>
                <w:sz w:val="21"/>
                <w:szCs w:val="21"/>
              </w:rPr>
              <w:t xml:space="preserve">1.3313 </w:t>
            </w:r>
          </w:p>
        </w:tc>
        <w:tc>
          <w:tcPr>
            <w:tcW w:w="789" w:type="dxa"/>
            <w:noWrap/>
            <w:tcMar>
              <w:left w:w="0" w:type="dxa"/>
              <w:right w:w="0" w:type="dxa"/>
            </w:tcMar>
          </w:tcPr>
          <w:p w14:paraId="295DC4F7">
            <w:pPr>
              <w:pStyle w:val="39"/>
              <w:rPr>
                <w:rFonts w:ascii="宋体" w:hAnsi="宋体"/>
                <w:sz w:val="21"/>
                <w:szCs w:val="21"/>
              </w:rPr>
            </w:pPr>
            <w:r>
              <w:rPr>
                <w:rFonts w:ascii="宋体" w:hAnsi="宋体"/>
                <w:sz w:val="21"/>
                <w:szCs w:val="21"/>
              </w:rPr>
              <w:t xml:space="preserve">1.2564 </w:t>
            </w:r>
          </w:p>
        </w:tc>
        <w:tc>
          <w:tcPr>
            <w:tcW w:w="789" w:type="dxa"/>
            <w:noWrap/>
            <w:tcMar>
              <w:left w:w="0" w:type="dxa"/>
              <w:right w:w="0" w:type="dxa"/>
            </w:tcMar>
          </w:tcPr>
          <w:p w14:paraId="0D5A0104">
            <w:pPr>
              <w:pStyle w:val="39"/>
              <w:rPr>
                <w:rFonts w:ascii="宋体" w:hAnsi="宋体"/>
                <w:sz w:val="21"/>
                <w:szCs w:val="21"/>
              </w:rPr>
            </w:pPr>
            <w:r>
              <w:rPr>
                <w:rFonts w:ascii="宋体" w:hAnsi="宋体"/>
                <w:sz w:val="21"/>
                <w:szCs w:val="21"/>
              </w:rPr>
              <w:t xml:space="preserve">1.1903 </w:t>
            </w:r>
          </w:p>
        </w:tc>
        <w:tc>
          <w:tcPr>
            <w:tcW w:w="789" w:type="dxa"/>
            <w:noWrap/>
            <w:tcMar>
              <w:left w:w="0" w:type="dxa"/>
              <w:right w:w="0" w:type="dxa"/>
            </w:tcMar>
          </w:tcPr>
          <w:p w14:paraId="50E59C4B">
            <w:pPr>
              <w:pStyle w:val="39"/>
              <w:rPr>
                <w:rFonts w:ascii="宋体" w:hAnsi="宋体"/>
                <w:sz w:val="21"/>
                <w:szCs w:val="21"/>
              </w:rPr>
            </w:pPr>
            <w:r>
              <w:rPr>
                <w:rFonts w:ascii="宋体" w:hAnsi="宋体"/>
                <w:sz w:val="21"/>
                <w:szCs w:val="21"/>
              </w:rPr>
              <w:t xml:space="preserve">1.1314 </w:t>
            </w:r>
          </w:p>
        </w:tc>
        <w:tc>
          <w:tcPr>
            <w:tcW w:w="789" w:type="dxa"/>
            <w:noWrap/>
            <w:tcMar>
              <w:left w:w="0" w:type="dxa"/>
              <w:right w:w="0" w:type="dxa"/>
            </w:tcMar>
          </w:tcPr>
          <w:p w14:paraId="13A9B8AC">
            <w:pPr>
              <w:pStyle w:val="39"/>
              <w:rPr>
                <w:rFonts w:ascii="宋体" w:hAnsi="宋体"/>
                <w:sz w:val="21"/>
                <w:szCs w:val="21"/>
              </w:rPr>
            </w:pPr>
            <w:r>
              <w:rPr>
                <w:rFonts w:ascii="宋体" w:hAnsi="宋体"/>
                <w:sz w:val="21"/>
                <w:szCs w:val="21"/>
              </w:rPr>
              <w:t xml:space="preserve">1.0786 </w:t>
            </w:r>
          </w:p>
        </w:tc>
        <w:tc>
          <w:tcPr>
            <w:tcW w:w="789" w:type="dxa"/>
            <w:noWrap/>
            <w:tcMar>
              <w:left w:w="0" w:type="dxa"/>
              <w:right w:w="0" w:type="dxa"/>
            </w:tcMar>
          </w:tcPr>
          <w:p w14:paraId="711E66A3">
            <w:pPr>
              <w:pStyle w:val="39"/>
              <w:rPr>
                <w:rFonts w:ascii="宋体" w:hAnsi="宋体"/>
                <w:sz w:val="21"/>
                <w:szCs w:val="21"/>
              </w:rPr>
            </w:pPr>
            <w:r>
              <w:rPr>
                <w:rFonts w:ascii="宋体" w:hAnsi="宋体"/>
                <w:sz w:val="21"/>
                <w:szCs w:val="21"/>
              </w:rPr>
              <w:t xml:space="preserve">1.0310 </w:t>
            </w:r>
          </w:p>
        </w:tc>
        <w:tc>
          <w:tcPr>
            <w:tcW w:w="789" w:type="dxa"/>
            <w:noWrap/>
            <w:tcMar>
              <w:left w:w="0" w:type="dxa"/>
              <w:right w:w="0" w:type="dxa"/>
            </w:tcMar>
          </w:tcPr>
          <w:p w14:paraId="36547859">
            <w:pPr>
              <w:pStyle w:val="39"/>
              <w:rPr>
                <w:rFonts w:ascii="宋体" w:hAnsi="宋体"/>
                <w:sz w:val="21"/>
                <w:szCs w:val="21"/>
              </w:rPr>
            </w:pPr>
            <w:r>
              <w:rPr>
                <w:rFonts w:ascii="宋体" w:hAnsi="宋体"/>
                <w:sz w:val="21"/>
                <w:szCs w:val="21"/>
              </w:rPr>
              <w:t xml:space="preserve">0.9879 </w:t>
            </w:r>
          </w:p>
        </w:tc>
        <w:tc>
          <w:tcPr>
            <w:tcW w:w="789" w:type="dxa"/>
            <w:noWrap/>
            <w:tcMar>
              <w:left w:w="0" w:type="dxa"/>
              <w:right w:w="0" w:type="dxa"/>
            </w:tcMar>
          </w:tcPr>
          <w:p w14:paraId="6199AEFE">
            <w:pPr>
              <w:pStyle w:val="39"/>
              <w:rPr>
                <w:rFonts w:ascii="宋体" w:hAnsi="宋体"/>
                <w:sz w:val="21"/>
                <w:szCs w:val="21"/>
              </w:rPr>
            </w:pPr>
            <w:r>
              <w:rPr>
                <w:rFonts w:ascii="宋体" w:hAnsi="宋体"/>
                <w:sz w:val="21"/>
                <w:szCs w:val="21"/>
              </w:rPr>
              <w:t xml:space="preserve">0.9486 </w:t>
            </w:r>
          </w:p>
        </w:tc>
        <w:tc>
          <w:tcPr>
            <w:tcW w:w="789" w:type="dxa"/>
            <w:noWrap/>
            <w:tcMar>
              <w:left w:w="0" w:type="dxa"/>
              <w:right w:w="0" w:type="dxa"/>
            </w:tcMar>
          </w:tcPr>
          <w:p w14:paraId="5FDB3D1C">
            <w:pPr>
              <w:pStyle w:val="39"/>
              <w:rPr>
                <w:rFonts w:ascii="宋体" w:hAnsi="宋体"/>
                <w:sz w:val="21"/>
                <w:szCs w:val="21"/>
              </w:rPr>
            </w:pPr>
            <w:r>
              <w:rPr>
                <w:rFonts w:ascii="宋体" w:hAnsi="宋体"/>
                <w:sz w:val="21"/>
                <w:szCs w:val="21"/>
              </w:rPr>
              <w:t xml:space="preserve">0.9127 </w:t>
            </w:r>
          </w:p>
        </w:tc>
      </w:tr>
      <w:tr w14:paraId="2CFB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91" w:type="dxa"/>
            <w:noWrap/>
            <w:tcMar>
              <w:left w:w="0" w:type="dxa"/>
              <w:right w:w="0" w:type="dxa"/>
            </w:tcMar>
          </w:tcPr>
          <w:p w14:paraId="1AAB4055">
            <w:pPr>
              <w:pStyle w:val="39"/>
              <w:rPr>
                <w:rFonts w:ascii="宋体" w:hAnsi="宋体"/>
                <w:sz w:val="21"/>
                <w:szCs w:val="21"/>
              </w:rPr>
            </w:pPr>
            <w:r>
              <w:rPr>
                <w:rFonts w:ascii="宋体" w:hAnsi="宋体"/>
                <w:sz w:val="21"/>
                <w:szCs w:val="21"/>
              </w:rPr>
              <w:t xml:space="preserve">1.00 </w:t>
            </w:r>
          </w:p>
        </w:tc>
        <w:tc>
          <w:tcPr>
            <w:tcW w:w="791" w:type="dxa"/>
            <w:noWrap/>
            <w:tcMar>
              <w:left w:w="0" w:type="dxa"/>
              <w:right w:w="0" w:type="dxa"/>
            </w:tcMar>
          </w:tcPr>
          <w:p w14:paraId="36CFC2A3">
            <w:pPr>
              <w:pStyle w:val="39"/>
              <w:rPr>
                <w:rFonts w:ascii="宋体" w:hAnsi="宋体"/>
                <w:sz w:val="21"/>
                <w:szCs w:val="21"/>
              </w:rPr>
            </w:pPr>
            <w:r>
              <w:rPr>
                <w:rFonts w:ascii="宋体" w:hAnsi="宋体"/>
                <w:sz w:val="21"/>
                <w:szCs w:val="21"/>
              </w:rPr>
              <w:t xml:space="preserve">1.5085 </w:t>
            </w:r>
          </w:p>
        </w:tc>
        <w:tc>
          <w:tcPr>
            <w:tcW w:w="791" w:type="dxa"/>
            <w:noWrap/>
            <w:tcMar>
              <w:left w:w="0" w:type="dxa"/>
              <w:right w:w="0" w:type="dxa"/>
            </w:tcMar>
          </w:tcPr>
          <w:p w14:paraId="5B6AC52C">
            <w:pPr>
              <w:pStyle w:val="39"/>
              <w:rPr>
                <w:rFonts w:ascii="宋体" w:hAnsi="宋体"/>
                <w:sz w:val="21"/>
                <w:szCs w:val="21"/>
              </w:rPr>
            </w:pPr>
            <w:r>
              <w:rPr>
                <w:rFonts w:ascii="宋体" w:hAnsi="宋体"/>
                <w:sz w:val="21"/>
                <w:szCs w:val="21"/>
              </w:rPr>
              <w:t xml:space="preserve">1.4131 </w:t>
            </w:r>
          </w:p>
        </w:tc>
        <w:tc>
          <w:tcPr>
            <w:tcW w:w="791" w:type="dxa"/>
            <w:noWrap/>
            <w:tcMar>
              <w:left w:w="0" w:type="dxa"/>
              <w:right w:w="0" w:type="dxa"/>
            </w:tcMar>
          </w:tcPr>
          <w:p w14:paraId="2A1B20A6">
            <w:pPr>
              <w:pStyle w:val="39"/>
              <w:rPr>
                <w:rFonts w:ascii="宋体" w:hAnsi="宋体"/>
                <w:sz w:val="21"/>
                <w:szCs w:val="21"/>
              </w:rPr>
            </w:pPr>
            <w:r>
              <w:rPr>
                <w:rFonts w:ascii="宋体" w:hAnsi="宋体"/>
                <w:sz w:val="21"/>
                <w:szCs w:val="21"/>
              </w:rPr>
              <w:t xml:space="preserve">1.3302 </w:t>
            </w:r>
          </w:p>
        </w:tc>
        <w:tc>
          <w:tcPr>
            <w:tcW w:w="789" w:type="dxa"/>
            <w:noWrap/>
            <w:tcMar>
              <w:left w:w="0" w:type="dxa"/>
              <w:right w:w="0" w:type="dxa"/>
            </w:tcMar>
          </w:tcPr>
          <w:p w14:paraId="6DC036DA">
            <w:pPr>
              <w:pStyle w:val="39"/>
              <w:rPr>
                <w:rFonts w:ascii="宋体" w:hAnsi="宋体"/>
                <w:sz w:val="21"/>
                <w:szCs w:val="21"/>
              </w:rPr>
            </w:pPr>
            <w:r>
              <w:rPr>
                <w:rFonts w:ascii="宋体" w:hAnsi="宋体"/>
                <w:sz w:val="21"/>
                <w:szCs w:val="21"/>
              </w:rPr>
              <w:t xml:space="preserve">1.2576 </w:t>
            </w:r>
          </w:p>
        </w:tc>
        <w:tc>
          <w:tcPr>
            <w:tcW w:w="789" w:type="dxa"/>
            <w:noWrap/>
            <w:tcMar>
              <w:left w:w="0" w:type="dxa"/>
              <w:right w:w="0" w:type="dxa"/>
            </w:tcMar>
          </w:tcPr>
          <w:p w14:paraId="02052C08">
            <w:pPr>
              <w:pStyle w:val="39"/>
              <w:rPr>
                <w:rFonts w:ascii="宋体" w:hAnsi="宋体"/>
                <w:sz w:val="21"/>
                <w:szCs w:val="21"/>
              </w:rPr>
            </w:pPr>
            <w:r>
              <w:rPr>
                <w:rFonts w:ascii="宋体" w:hAnsi="宋体"/>
                <w:sz w:val="21"/>
                <w:szCs w:val="21"/>
              </w:rPr>
              <w:t xml:space="preserve">1.1934 </w:t>
            </w:r>
          </w:p>
        </w:tc>
        <w:tc>
          <w:tcPr>
            <w:tcW w:w="789" w:type="dxa"/>
            <w:noWrap/>
            <w:tcMar>
              <w:left w:w="0" w:type="dxa"/>
              <w:right w:w="0" w:type="dxa"/>
            </w:tcMar>
          </w:tcPr>
          <w:p w14:paraId="1B76D280">
            <w:pPr>
              <w:pStyle w:val="39"/>
              <w:rPr>
                <w:rFonts w:ascii="宋体" w:hAnsi="宋体"/>
                <w:sz w:val="21"/>
                <w:szCs w:val="21"/>
              </w:rPr>
            </w:pPr>
            <w:r>
              <w:rPr>
                <w:rFonts w:ascii="宋体" w:hAnsi="宋体"/>
                <w:sz w:val="21"/>
                <w:szCs w:val="21"/>
              </w:rPr>
              <w:t xml:space="preserve">1.1362 </w:t>
            </w:r>
          </w:p>
        </w:tc>
        <w:tc>
          <w:tcPr>
            <w:tcW w:w="789" w:type="dxa"/>
            <w:noWrap/>
            <w:tcMar>
              <w:left w:w="0" w:type="dxa"/>
              <w:right w:w="0" w:type="dxa"/>
            </w:tcMar>
          </w:tcPr>
          <w:p w14:paraId="387636B2">
            <w:pPr>
              <w:pStyle w:val="39"/>
              <w:rPr>
                <w:rFonts w:ascii="宋体" w:hAnsi="宋体"/>
                <w:sz w:val="21"/>
                <w:szCs w:val="21"/>
              </w:rPr>
            </w:pPr>
            <w:r>
              <w:rPr>
                <w:rFonts w:ascii="宋体" w:hAnsi="宋体"/>
                <w:sz w:val="21"/>
                <w:szCs w:val="21"/>
              </w:rPr>
              <w:t xml:space="preserve">1.0849 </w:t>
            </w:r>
          </w:p>
        </w:tc>
        <w:tc>
          <w:tcPr>
            <w:tcW w:w="789" w:type="dxa"/>
            <w:noWrap/>
            <w:tcMar>
              <w:left w:w="0" w:type="dxa"/>
              <w:right w:w="0" w:type="dxa"/>
            </w:tcMar>
          </w:tcPr>
          <w:p w14:paraId="2A1D0C01">
            <w:pPr>
              <w:pStyle w:val="39"/>
              <w:rPr>
                <w:rFonts w:ascii="宋体" w:hAnsi="宋体"/>
                <w:sz w:val="21"/>
                <w:szCs w:val="21"/>
              </w:rPr>
            </w:pPr>
            <w:r>
              <w:rPr>
                <w:rFonts w:ascii="宋体" w:hAnsi="宋体"/>
                <w:sz w:val="21"/>
                <w:szCs w:val="21"/>
              </w:rPr>
              <w:t xml:space="preserve">1.0386 </w:t>
            </w:r>
          </w:p>
        </w:tc>
        <w:tc>
          <w:tcPr>
            <w:tcW w:w="789" w:type="dxa"/>
            <w:noWrap/>
            <w:tcMar>
              <w:left w:w="0" w:type="dxa"/>
              <w:right w:w="0" w:type="dxa"/>
            </w:tcMar>
          </w:tcPr>
          <w:p w14:paraId="376244D3">
            <w:pPr>
              <w:pStyle w:val="39"/>
              <w:rPr>
                <w:rFonts w:ascii="宋体" w:hAnsi="宋体"/>
                <w:sz w:val="21"/>
                <w:szCs w:val="21"/>
              </w:rPr>
            </w:pPr>
            <w:r>
              <w:rPr>
                <w:rFonts w:ascii="宋体" w:hAnsi="宋体"/>
                <w:sz w:val="21"/>
                <w:szCs w:val="21"/>
              </w:rPr>
              <w:t xml:space="preserve">0.9966 </w:t>
            </w:r>
          </w:p>
        </w:tc>
        <w:tc>
          <w:tcPr>
            <w:tcW w:w="789" w:type="dxa"/>
            <w:noWrap/>
            <w:tcMar>
              <w:left w:w="0" w:type="dxa"/>
              <w:right w:w="0" w:type="dxa"/>
            </w:tcMar>
          </w:tcPr>
          <w:p w14:paraId="4FF730E9">
            <w:pPr>
              <w:pStyle w:val="39"/>
              <w:rPr>
                <w:rFonts w:ascii="宋体" w:hAnsi="宋体"/>
                <w:sz w:val="21"/>
                <w:szCs w:val="21"/>
              </w:rPr>
            </w:pPr>
            <w:r>
              <w:rPr>
                <w:rFonts w:ascii="宋体" w:hAnsi="宋体"/>
                <w:sz w:val="21"/>
                <w:szCs w:val="21"/>
              </w:rPr>
              <w:t xml:space="preserve">0.9583 </w:t>
            </w:r>
          </w:p>
        </w:tc>
        <w:tc>
          <w:tcPr>
            <w:tcW w:w="789" w:type="dxa"/>
            <w:noWrap/>
            <w:tcMar>
              <w:left w:w="0" w:type="dxa"/>
              <w:right w:w="0" w:type="dxa"/>
            </w:tcMar>
          </w:tcPr>
          <w:p w14:paraId="591C47D0">
            <w:pPr>
              <w:pStyle w:val="39"/>
              <w:rPr>
                <w:rFonts w:ascii="宋体" w:hAnsi="宋体"/>
                <w:sz w:val="21"/>
                <w:szCs w:val="21"/>
              </w:rPr>
            </w:pPr>
            <w:r>
              <w:rPr>
                <w:rFonts w:ascii="宋体" w:hAnsi="宋体"/>
                <w:sz w:val="21"/>
                <w:szCs w:val="21"/>
              </w:rPr>
              <w:t xml:space="preserve">0.9231 </w:t>
            </w:r>
          </w:p>
        </w:tc>
      </w:tr>
    </w:tbl>
    <w:p w14:paraId="57340606">
      <w:pPr>
        <w:spacing w:before="156"/>
        <w:ind w:firstLine="480"/>
        <w:jc w:val="center"/>
        <w:rPr>
          <w:rFonts w:cs="Times New Roman"/>
          <w:szCs w:val="21"/>
        </w:rPr>
      </w:pPr>
    </w:p>
    <w:p w14:paraId="01D7F657">
      <w:pPr>
        <w:pStyle w:val="39"/>
      </w:pPr>
      <w:r>
        <w:t>表B.0.2-3 矩形脉冲的ηmax值</w:t>
      </w:r>
    </w:p>
    <w:tbl>
      <w:tblPr>
        <w:tblStyle w:val="32"/>
        <w:tblW w:w="9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756"/>
        <w:gridCol w:w="756"/>
        <w:gridCol w:w="756"/>
        <w:gridCol w:w="756"/>
        <w:gridCol w:w="756"/>
        <w:gridCol w:w="756"/>
        <w:gridCol w:w="756"/>
        <w:gridCol w:w="756"/>
        <w:gridCol w:w="756"/>
        <w:gridCol w:w="756"/>
        <w:gridCol w:w="756"/>
      </w:tblGrid>
      <w:tr w14:paraId="70B50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751" w:type="dxa"/>
            <w:tcBorders>
              <w:tl2br w:val="single" w:color="auto" w:sz="4" w:space="0"/>
            </w:tcBorders>
            <w:noWrap/>
          </w:tcPr>
          <w:p w14:paraId="55121922">
            <w:pPr>
              <w:pStyle w:val="39"/>
              <w:ind w:left="-108" w:leftChars="-45"/>
              <w:jc w:val="right"/>
              <w:rPr>
                <w:rFonts w:ascii="宋体" w:hAnsi="宋体"/>
                <w:sz w:val="18"/>
                <w:szCs w:val="18"/>
              </w:rPr>
            </w:pPr>
            <w:r>
              <w:rPr>
                <w:rFonts w:ascii="宋体" w:hAnsi="宋体"/>
                <w:sz w:val="18"/>
                <w:szCs w:val="18"/>
              </w:rPr>
              <w:t>ζ</w:t>
            </w:r>
          </w:p>
          <w:p w14:paraId="325B09AB">
            <w:pPr>
              <w:pStyle w:val="39"/>
              <w:ind w:left="-108" w:leftChars="-45"/>
              <w:jc w:val="left"/>
              <w:rPr>
                <w:rFonts w:ascii="宋体" w:hAnsi="宋体"/>
                <w:sz w:val="18"/>
                <w:szCs w:val="18"/>
              </w:rPr>
            </w:pPr>
            <w:r>
              <w:rPr>
                <w:rFonts w:ascii="宋体" w:hAnsi="宋体"/>
                <w:sz w:val="18"/>
                <w:szCs w:val="18"/>
              </w:rPr>
              <w:t>to/Tn</w:t>
            </w:r>
          </w:p>
        </w:tc>
        <w:tc>
          <w:tcPr>
            <w:tcW w:w="751" w:type="dxa"/>
            <w:noWrap/>
            <w:vAlign w:val="center"/>
          </w:tcPr>
          <w:p w14:paraId="698EA735">
            <w:pPr>
              <w:pStyle w:val="39"/>
              <w:rPr>
                <w:rFonts w:ascii="宋体" w:hAnsi="宋体"/>
                <w:sz w:val="18"/>
                <w:szCs w:val="18"/>
              </w:rPr>
            </w:pPr>
            <w:r>
              <w:rPr>
                <w:rFonts w:ascii="宋体" w:hAnsi="宋体"/>
                <w:sz w:val="18"/>
                <w:szCs w:val="18"/>
              </w:rPr>
              <w:t>0.00</w:t>
            </w:r>
          </w:p>
        </w:tc>
        <w:tc>
          <w:tcPr>
            <w:tcW w:w="751" w:type="dxa"/>
            <w:noWrap/>
            <w:vAlign w:val="center"/>
          </w:tcPr>
          <w:p w14:paraId="20B17E0A">
            <w:pPr>
              <w:pStyle w:val="39"/>
              <w:rPr>
                <w:rFonts w:ascii="宋体" w:hAnsi="宋体"/>
                <w:sz w:val="18"/>
                <w:szCs w:val="18"/>
              </w:rPr>
            </w:pPr>
            <w:r>
              <w:rPr>
                <w:rFonts w:ascii="宋体" w:hAnsi="宋体"/>
                <w:sz w:val="18"/>
                <w:szCs w:val="18"/>
              </w:rPr>
              <w:t>0.05</w:t>
            </w:r>
          </w:p>
        </w:tc>
        <w:tc>
          <w:tcPr>
            <w:tcW w:w="751" w:type="dxa"/>
            <w:noWrap/>
            <w:vAlign w:val="center"/>
          </w:tcPr>
          <w:p w14:paraId="543CFAAE">
            <w:pPr>
              <w:pStyle w:val="39"/>
              <w:rPr>
                <w:rFonts w:ascii="宋体" w:hAnsi="宋体"/>
                <w:sz w:val="18"/>
                <w:szCs w:val="18"/>
              </w:rPr>
            </w:pPr>
            <w:r>
              <w:rPr>
                <w:rFonts w:ascii="宋体" w:hAnsi="宋体"/>
                <w:sz w:val="18"/>
                <w:szCs w:val="18"/>
              </w:rPr>
              <w:t>0.10</w:t>
            </w:r>
          </w:p>
        </w:tc>
        <w:tc>
          <w:tcPr>
            <w:tcW w:w="750" w:type="dxa"/>
            <w:noWrap/>
            <w:vAlign w:val="center"/>
          </w:tcPr>
          <w:p w14:paraId="4269D621">
            <w:pPr>
              <w:pStyle w:val="39"/>
              <w:rPr>
                <w:rFonts w:ascii="宋体" w:hAnsi="宋体"/>
                <w:sz w:val="18"/>
                <w:szCs w:val="18"/>
              </w:rPr>
            </w:pPr>
            <w:r>
              <w:rPr>
                <w:rFonts w:ascii="宋体" w:hAnsi="宋体"/>
                <w:sz w:val="18"/>
                <w:szCs w:val="18"/>
              </w:rPr>
              <w:t>0.15</w:t>
            </w:r>
          </w:p>
        </w:tc>
        <w:tc>
          <w:tcPr>
            <w:tcW w:w="750" w:type="dxa"/>
            <w:noWrap/>
            <w:vAlign w:val="center"/>
          </w:tcPr>
          <w:p w14:paraId="71487F8F">
            <w:pPr>
              <w:pStyle w:val="39"/>
              <w:rPr>
                <w:rFonts w:ascii="宋体" w:hAnsi="宋体"/>
                <w:sz w:val="18"/>
                <w:szCs w:val="18"/>
              </w:rPr>
            </w:pPr>
            <w:r>
              <w:rPr>
                <w:rFonts w:ascii="宋体" w:hAnsi="宋体"/>
                <w:sz w:val="18"/>
                <w:szCs w:val="18"/>
              </w:rPr>
              <w:t>0.20</w:t>
            </w:r>
          </w:p>
        </w:tc>
        <w:tc>
          <w:tcPr>
            <w:tcW w:w="750" w:type="dxa"/>
            <w:noWrap/>
            <w:vAlign w:val="center"/>
          </w:tcPr>
          <w:p w14:paraId="05528D69">
            <w:pPr>
              <w:pStyle w:val="39"/>
              <w:rPr>
                <w:rFonts w:ascii="宋体" w:hAnsi="宋体"/>
                <w:sz w:val="18"/>
                <w:szCs w:val="18"/>
              </w:rPr>
            </w:pPr>
            <w:r>
              <w:rPr>
                <w:rFonts w:ascii="宋体" w:hAnsi="宋体"/>
                <w:sz w:val="18"/>
                <w:szCs w:val="18"/>
              </w:rPr>
              <w:t>0.25</w:t>
            </w:r>
          </w:p>
        </w:tc>
        <w:tc>
          <w:tcPr>
            <w:tcW w:w="750" w:type="dxa"/>
            <w:noWrap/>
            <w:vAlign w:val="center"/>
          </w:tcPr>
          <w:p w14:paraId="4B079D61">
            <w:pPr>
              <w:pStyle w:val="39"/>
              <w:rPr>
                <w:rFonts w:ascii="宋体" w:hAnsi="宋体"/>
                <w:sz w:val="18"/>
                <w:szCs w:val="18"/>
              </w:rPr>
            </w:pPr>
            <w:r>
              <w:rPr>
                <w:rFonts w:ascii="宋体" w:hAnsi="宋体"/>
                <w:sz w:val="18"/>
                <w:szCs w:val="18"/>
              </w:rPr>
              <w:t>0.30</w:t>
            </w:r>
          </w:p>
        </w:tc>
        <w:tc>
          <w:tcPr>
            <w:tcW w:w="750" w:type="dxa"/>
            <w:noWrap/>
            <w:vAlign w:val="center"/>
          </w:tcPr>
          <w:p w14:paraId="7E2D80D4">
            <w:pPr>
              <w:pStyle w:val="39"/>
              <w:rPr>
                <w:rFonts w:ascii="宋体" w:hAnsi="宋体"/>
                <w:sz w:val="18"/>
                <w:szCs w:val="18"/>
              </w:rPr>
            </w:pPr>
            <w:r>
              <w:rPr>
                <w:rFonts w:ascii="宋体" w:hAnsi="宋体"/>
                <w:sz w:val="18"/>
                <w:szCs w:val="18"/>
              </w:rPr>
              <w:t>0.35</w:t>
            </w:r>
          </w:p>
        </w:tc>
        <w:tc>
          <w:tcPr>
            <w:tcW w:w="750" w:type="dxa"/>
            <w:noWrap/>
            <w:vAlign w:val="center"/>
          </w:tcPr>
          <w:p w14:paraId="32B4491E">
            <w:pPr>
              <w:pStyle w:val="39"/>
              <w:rPr>
                <w:rFonts w:ascii="宋体" w:hAnsi="宋体"/>
                <w:sz w:val="18"/>
                <w:szCs w:val="18"/>
              </w:rPr>
            </w:pPr>
            <w:r>
              <w:rPr>
                <w:rFonts w:ascii="宋体" w:hAnsi="宋体"/>
                <w:sz w:val="18"/>
                <w:szCs w:val="18"/>
              </w:rPr>
              <w:t>0.40</w:t>
            </w:r>
          </w:p>
        </w:tc>
        <w:tc>
          <w:tcPr>
            <w:tcW w:w="750" w:type="dxa"/>
            <w:noWrap/>
            <w:vAlign w:val="center"/>
          </w:tcPr>
          <w:p w14:paraId="4965C05E">
            <w:pPr>
              <w:pStyle w:val="39"/>
              <w:rPr>
                <w:rFonts w:ascii="宋体" w:hAnsi="宋体"/>
                <w:sz w:val="18"/>
                <w:szCs w:val="18"/>
              </w:rPr>
            </w:pPr>
            <w:r>
              <w:rPr>
                <w:rFonts w:ascii="宋体" w:hAnsi="宋体"/>
                <w:sz w:val="18"/>
                <w:szCs w:val="18"/>
              </w:rPr>
              <w:t>0.45</w:t>
            </w:r>
          </w:p>
        </w:tc>
        <w:tc>
          <w:tcPr>
            <w:tcW w:w="750" w:type="dxa"/>
            <w:noWrap/>
            <w:vAlign w:val="center"/>
          </w:tcPr>
          <w:p w14:paraId="5F91A007">
            <w:pPr>
              <w:pStyle w:val="39"/>
              <w:rPr>
                <w:rFonts w:ascii="宋体" w:hAnsi="宋体"/>
                <w:sz w:val="18"/>
                <w:szCs w:val="18"/>
              </w:rPr>
            </w:pPr>
            <w:r>
              <w:rPr>
                <w:rFonts w:ascii="宋体" w:hAnsi="宋体"/>
                <w:sz w:val="18"/>
                <w:szCs w:val="18"/>
              </w:rPr>
              <w:t>0.50</w:t>
            </w:r>
          </w:p>
        </w:tc>
      </w:tr>
      <w:tr w14:paraId="4C016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1" w:type="dxa"/>
            <w:noWrap/>
          </w:tcPr>
          <w:p w14:paraId="6C5268CE">
            <w:pPr>
              <w:pStyle w:val="39"/>
              <w:rPr>
                <w:rFonts w:ascii="宋体" w:hAnsi="宋体"/>
                <w:sz w:val="18"/>
                <w:szCs w:val="18"/>
              </w:rPr>
            </w:pPr>
            <w:r>
              <w:rPr>
                <w:rFonts w:ascii="宋体" w:hAnsi="宋体"/>
                <w:sz w:val="18"/>
                <w:szCs w:val="18"/>
              </w:rPr>
              <w:t xml:space="preserve">0.05 </w:t>
            </w:r>
          </w:p>
        </w:tc>
        <w:tc>
          <w:tcPr>
            <w:tcW w:w="751" w:type="dxa"/>
            <w:noWrap/>
          </w:tcPr>
          <w:p w14:paraId="308B985B">
            <w:pPr>
              <w:pStyle w:val="39"/>
              <w:rPr>
                <w:rFonts w:ascii="宋体" w:hAnsi="宋体"/>
                <w:sz w:val="18"/>
                <w:szCs w:val="18"/>
              </w:rPr>
            </w:pPr>
            <w:r>
              <w:rPr>
                <w:rFonts w:ascii="宋体" w:hAnsi="宋体"/>
                <w:sz w:val="18"/>
                <w:szCs w:val="18"/>
              </w:rPr>
              <w:t xml:space="preserve">0.3129 </w:t>
            </w:r>
          </w:p>
        </w:tc>
        <w:tc>
          <w:tcPr>
            <w:tcW w:w="751" w:type="dxa"/>
            <w:noWrap/>
          </w:tcPr>
          <w:p w14:paraId="766095B9">
            <w:pPr>
              <w:pStyle w:val="39"/>
              <w:rPr>
                <w:rFonts w:ascii="宋体" w:hAnsi="宋体"/>
                <w:sz w:val="18"/>
                <w:szCs w:val="18"/>
              </w:rPr>
            </w:pPr>
            <w:r>
              <w:rPr>
                <w:rFonts w:ascii="宋体" w:hAnsi="宋体"/>
                <w:sz w:val="18"/>
                <w:szCs w:val="18"/>
              </w:rPr>
              <w:t xml:space="preserve">0.2900 </w:t>
            </w:r>
          </w:p>
        </w:tc>
        <w:tc>
          <w:tcPr>
            <w:tcW w:w="751" w:type="dxa"/>
            <w:noWrap/>
          </w:tcPr>
          <w:p w14:paraId="725CE306">
            <w:pPr>
              <w:pStyle w:val="39"/>
              <w:rPr>
                <w:rFonts w:ascii="宋体" w:hAnsi="宋体"/>
                <w:sz w:val="18"/>
                <w:szCs w:val="18"/>
              </w:rPr>
            </w:pPr>
            <w:r>
              <w:rPr>
                <w:rFonts w:ascii="宋体" w:hAnsi="宋体"/>
                <w:sz w:val="18"/>
                <w:szCs w:val="18"/>
              </w:rPr>
              <w:t xml:space="preserve">0.2699 </w:t>
            </w:r>
          </w:p>
        </w:tc>
        <w:tc>
          <w:tcPr>
            <w:tcW w:w="750" w:type="dxa"/>
            <w:noWrap/>
          </w:tcPr>
          <w:p w14:paraId="707E5117">
            <w:pPr>
              <w:pStyle w:val="39"/>
              <w:rPr>
                <w:rFonts w:ascii="宋体" w:hAnsi="宋体"/>
                <w:sz w:val="18"/>
                <w:szCs w:val="18"/>
              </w:rPr>
            </w:pPr>
            <w:r>
              <w:rPr>
                <w:rFonts w:ascii="宋体" w:hAnsi="宋体"/>
                <w:sz w:val="18"/>
                <w:szCs w:val="18"/>
              </w:rPr>
              <w:t xml:space="preserve">0.2522 </w:t>
            </w:r>
          </w:p>
        </w:tc>
        <w:tc>
          <w:tcPr>
            <w:tcW w:w="750" w:type="dxa"/>
            <w:noWrap/>
          </w:tcPr>
          <w:p w14:paraId="38F9DF8F">
            <w:pPr>
              <w:pStyle w:val="39"/>
              <w:rPr>
                <w:rFonts w:ascii="宋体" w:hAnsi="宋体"/>
                <w:sz w:val="18"/>
                <w:szCs w:val="18"/>
              </w:rPr>
            </w:pPr>
            <w:r>
              <w:rPr>
                <w:rFonts w:ascii="宋体" w:hAnsi="宋体"/>
                <w:sz w:val="18"/>
                <w:szCs w:val="18"/>
              </w:rPr>
              <w:t xml:space="preserve">0.2366 </w:t>
            </w:r>
          </w:p>
        </w:tc>
        <w:tc>
          <w:tcPr>
            <w:tcW w:w="750" w:type="dxa"/>
            <w:noWrap/>
          </w:tcPr>
          <w:p w14:paraId="650242B2">
            <w:pPr>
              <w:pStyle w:val="39"/>
              <w:rPr>
                <w:rFonts w:ascii="宋体" w:hAnsi="宋体"/>
                <w:sz w:val="18"/>
                <w:szCs w:val="18"/>
              </w:rPr>
            </w:pPr>
            <w:r>
              <w:rPr>
                <w:rFonts w:ascii="宋体" w:hAnsi="宋体"/>
                <w:sz w:val="18"/>
                <w:szCs w:val="18"/>
              </w:rPr>
              <w:t xml:space="preserve">0.2226 </w:t>
            </w:r>
          </w:p>
        </w:tc>
        <w:tc>
          <w:tcPr>
            <w:tcW w:w="750" w:type="dxa"/>
            <w:noWrap/>
          </w:tcPr>
          <w:p w14:paraId="22C58706">
            <w:pPr>
              <w:pStyle w:val="39"/>
              <w:rPr>
                <w:rFonts w:ascii="宋体" w:hAnsi="宋体"/>
                <w:sz w:val="18"/>
                <w:szCs w:val="18"/>
              </w:rPr>
            </w:pPr>
            <w:r>
              <w:rPr>
                <w:rFonts w:ascii="宋体" w:hAnsi="宋体"/>
                <w:sz w:val="18"/>
                <w:szCs w:val="18"/>
              </w:rPr>
              <w:t xml:space="preserve">0.2101 </w:t>
            </w:r>
          </w:p>
        </w:tc>
        <w:tc>
          <w:tcPr>
            <w:tcW w:w="750" w:type="dxa"/>
            <w:noWrap/>
          </w:tcPr>
          <w:p w14:paraId="0ED9BB49">
            <w:pPr>
              <w:pStyle w:val="39"/>
              <w:rPr>
                <w:rFonts w:ascii="宋体" w:hAnsi="宋体"/>
                <w:sz w:val="18"/>
                <w:szCs w:val="18"/>
              </w:rPr>
            </w:pPr>
            <w:r>
              <w:rPr>
                <w:rFonts w:ascii="宋体" w:hAnsi="宋体"/>
                <w:sz w:val="18"/>
                <w:szCs w:val="18"/>
              </w:rPr>
              <w:t xml:space="preserve">0.1988 </w:t>
            </w:r>
          </w:p>
        </w:tc>
        <w:tc>
          <w:tcPr>
            <w:tcW w:w="750" w:type="dxa"/>
            <w:noWrap/>
          </w:tcPr>
          <w:p w14:paraId="51F2ABA5">
            <w:pPr>
              <w:pStyle w:val="39"/>
              <w:rPr>
                <w:rFonts w:ascii="宋体" w:hAnsi="宋体"/>
                <w:sz w:val="18"/>
                <w:szCs w:val="18"/>
              </w:rPr>
            </w:pPr>
            <w:r>
              <w:rPr>
                <w:rFonts w:ascii="宋体" w:hAnsi="宋体"/>
                <w:sz w:val="18"/>
                <w:szCs w:val="18"/>
              </w:rPr>
              <w:t xml:space="preserve">0.1886 </w:t>
            </w:r>
          </w:p>
        </w:tc>
        <w:tc>
          <w:tcPr>
            <w:tcW w:w="750" w:type="dxa"/>
            <w:noWrap/>
          </w:tcPr>
          <w:p w14:paraId="65AFC7C2">
            <w:pPr>
              <w:pStyle w:val="39"/>
              <w:rPr>
                <w:rFonts w:ascii="宋体" w:hAnsi="宋体"/>
                <w:sz w:val="18"/>
                <w:szCs w:val="18"/>
              </w:rPr>
            </w:pPr>
            <w:r>
              <w:rPr>
                <w:rFonts w:ascii="宋体" w:hAnsi="宋体"/>
                <w:sz w:val="18"/>
                <w:szCs w:val="18"/>
              </w:rPr>
              <w:t xml:space="preserve">0.1794 </w:t>
            </w:r>
          </w:p>
        </w:tc>
        <w:tc>
          <w:tcPr>
            <w:tcW w:w="750" w:type="dxa"/>
            <w:noWrap/>
          </w:tcPr>
          <w:p w14:paraId="238F501E">
            <w:pPr>
              <w:pStyle w:val="39"/>
              <w:rPr>
                <w:rFonts w:ascii="宋体" w:hAnsi="宋体"/>
                <w:sz w:val="18"/>
                <w:szCs w:val="18"/>
              </w:rPr>
            </w:pPr>
            <w:r>
              <w:rPr>
                <w:rFonts w:ascii="宋体" w:hAnsi="宋体"/>
                <w:sz w:val="18"/>
                <w:szCs w:val="18"/>
              </w:rPr>
              <w:t xml:space="preserve">0.1710 </w:t>
            </w:r>
          </w:p>
        </w:tc>
      </w:tr>
      <w:tr w14:paraId="7BC3F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1" w:type="dxa"/>
            <w:noWrap/>
          </w:tcPr>
          <w:p w14:paraId="6C97B247">
            <w:pPr>
              <w:pStyle w:val="39"/>
              <w:rPr>
                <w:rFonts w:ascii="宋体" w:hAnsi="宋体"/>
                <w:sz w:val="18"/>
                <w:szCs w:val="18"/>
              </w:rPr>
            </w:pPr>
            <w:r>
              <w:rPr>
                <w:rFonts w:ascii="宋体" w:hAnsi="宋体"/>
                <w:sz w:val="18"/>
                <w:szCs w:val="18"/>
              </w:rPr>
              <w:t xml:space="preserve">0.10 </w:t>
            </w:r>
          </w:p>
        </w:tc>
        <w:tc>
          <w:tcPr>
            <w:tcW w:w="751" w:type="dxa"/>
            <w:noWrap/>
          </w:tcPr>
          <w:p w14:paraId="129F4B4D">
            <w:pPr>
              <w:pStyle w:val="39"/>
              <w:rPr>
                <w:rFonts w:ascii="宋体" w:hAnsi="宋体"/>
                <w:sz w:val="18"/>
                <w:szCs w:val="18"/>
              </w:rPr>
            </w:pPr>
            <w:r>
              <w:rPr>
                <w:rFonts w:ascii="宋体" w:hAnsi="宋体"/>
                <w:sz w:val="18"/>
                <w:szCs w:val="18"/>
              </w:rPr>
              <w:t xml:space="preserve">0.6181 </w:t>
            </w:r>
          </w:p>
        </w:tc>
        <w:tc>
          <w:tcPr>
            <w:tcW w:w="751" w:type="dxa"/>
            <w:noWrap/>
          </w:tcPr>
          <w:p w14:paraId="0418860B">
            <w:pPr>
              <w:pStyle w:val="39"/>
              <w:rPr>
                <w:rFonts w:ascii="宋体" w:hAnsi="宋体"/>
                <w:sz w:val="18"/>
                <w:szCs w:val="18"/>
              </w:rPr>
            </w:pPr>
            <w:r>
              <w:rPr>
                <w:rFonts w:ascii="宋体" w:hAnsi="宋体"/>
                <w:sz w:val="18"/>
                <w:szCs w:val="18"/>
              </w:rPr>
              <w:t xml:space="preserve">0.5727 </w:t>
            </w:r>
          </w:p>
        </w:tc>
        <w:tc>
          <w:tcPr>
            <w:tcW w:w="751" w:type="dxa"/>
            <w:noWrap/>
          </w:tcPr>
          <w:p w14:paraId="3BDB08E5">
            <w:pPr>
              <w:pStyle w:val="39"/>
              <w:rPr>
                <w:rFonts w:ascii="宋体" w:hAnsi="宋体"/>
                <w:sz w:val="18"/>
                <w:szCs w:val="18"/>
              </w:rPr>
            </w:pPr>
            <w:r>
              <w:rPr>
                <w:rFonts w:ascii="宋体" w:hAnsi="宋体"/>
                <w:sz w:val="18"/>
                <w:szCs w:val="18"/>
              </w:rPr>
              <w:t xml:space="preserve">0.5332 </w:t>
            </w:r>
          </w:p>
        </w:tc>
        <w:tc>
          <w:tcPr>
            <w:tcW w:w="750" w:type="dxa"/>
            <w:noWrap/>
          </w:tcPr>
          <w:p w14:paraId="5CF11C2C">
            <w:pPr>
              <w:pStyle w:val="39"/>
              <w:rPr>
                <w:rFonts w:ascii="宋体" w:hAnsi="宋体"/>
                <w:sz w:val="18"/>
                <w:szCs w:val="18"/>
              </w:rPr>
            </w:pPr>
            <w:r>
              <w:rPr>
                <w:rFonts w:ascii="宋体" w:hAnsi="宋体"/>
                <w:sz w:val="18"/>
                <w:szCs w:val="18"/>
              </w:rPr>
              <w:t xml:space="preserve">0.4982 </w:t>
            </w:r>
          </w:p>
        </w:tc>
        <w:tc>
          <w:tcPr>
            <w:tcW w:w="750" w:type="dxa"/>
            <w:noWrap/>
          </w:tcPr>
          <w:p w14:paraId="28D29BCD">
            <w:pPr>
              <w:pStyle w:val="39"/>
              <w:rPr>
                <w:rFonts w:ascii="宋体" w:hAnsi="宋体"/>
                <w:sz w:val="18"/>
                <w:szCs w:val="18"/>
              </w:rPr>
            </w:pPr>
            <w:r>
              <w:rPr>
                <w:rFonts w:ascii="宋体" w:hAnsi="宋体"/>
                <w:sz w:val="18"/>
                <w:szCs w:val="18"/>
              </w:rPr>
              <w:t xml:space="preserve">0.4673 </w:t>
            </w:r>
          </w:p>
        </w:tc>
        <w:tc>
          <w:tcPr>
            <w:tcW w:w="750" w:type="dxa"/>
            <w:noWrap/>
          </w:tcPr>
          <w:p w14:paraId="32AFDCD1">
            <w:pPr>
              <w:pStyle w:val="39"/>
              <w:rPr>
                <w:rFonts w:ascii="宋体" w:hAnsi="宋体"/>
                <w:sz w:val="18"/>
                <w:szCs w:val="18"/>
              </w:rPr>
            </w:pPr>
            <w:r>
              <w:rPr>
                <w:rFonts w:ascii="宋体" w:hAnsi="宋体"/>
                <w:sz w:val="18"/>
                <w:szCs w:val="18"/>
              </w:rPr>
              <w:t xml:space="preserve">0.4398 </w:t>
            </w:r>
          </w:p>
        </w:tc>
        <w:tc>
          <w:tcPr>
            <w:tcW w:w="750" w:type="dxa"/>
            <w:noWrap/>
          </w:tcPr>
          <w:p w14:paraId="1FB7137F">
            <w:pPr>
              <w:pStyle w:val="39"/>
              <w:rPr>
                <w:rFonts w:ascii="宋体" w:hAnsi="宋体"/>
                <w:sz w:val="18"/>
                <w:szCs w:val="18"/>
              </w:rPr>
            </w:pPr>
            <w:r>
              <w:rPr>
                <w:rFonts w:ascii="宋体" w:hAnsi="宋体"/>
                <w:sz w:val="18"/>
                <w:szCs w:val="18"/>
              </w:rPr>
              <w:t xml:space="preserve">0.4151 </w:t>
            </w:r>
          </w:p>
        </w:tc>
        <w:tc>
          <w:tcPr>
            <w:tcW w:w="750" w:type="dxa"/>
            <w:noWrap/>
          </w:tcPr>
          <w:p w14:paraId="4D73B33F">
            <w:pPr>
              <w:pStyle w:val="39"/>
              <w:rPr>
                <w:rFonts w:ascii="宋体" w:hAnsi="宋体"/>
                <w:sz w:val="18"/>
                <w:szCs w:val="18"/>
              </w:rPr>
            </w:pPr>
            <w:r>
              <w:rPr>
                <w:rFonts w:ascii="宋体" w:hAnsi="宋体"/>
                <w:sz w:val="18"/>
                <w:szCs w:val="18"/>
              </w:rPr>
              <w:t xml:space="preserve">0.3928 </w:t>
            </w:r>
          </w:p>
        </w:tc>
        <w:tc>
          <w:tcPr>
            <w:tcW w:w="750" w:type="dxa"/>
            <w:noWrap/>
          </w:tcPr>
          <w:p w14:paraId="6AB055FF">
            <w:pPr>
              <w:pStyle w:val="39"/>
              <w:rPr>
                <w:rFonts w:ascii="宋体" w:hAnsi="宋体"/>
                <w:sz w:val="18"/>
                <w:szCs w:val="18"/>
              </w:rPr>
            </w:pPr>
            <w:r>
              <w:rPr>
                <w:rFonts w:ascii="宋体" w:hAnsi="宋体"/>
                <w:sz w:val="18"/>
                <w:szCs w:val="18"/>
              </w:rPr>
              <w:t xml:space="preserve">0.3726 </w:t>
            </w:r>
          </w:p>
        </w:tc>
        <w:tc>
          <w:tcPr>
            <w:tcW w:w="750" w:type="dxa"/>
            <w:noWrap/>
          </w:tcPr>
          <w:p w14:paraId="09DFF6E0">
            <w:pPr>
              <w:pStyle w:val="39"/>
              <w:rPr>
                <w:rFonts w:ascii="宋体" w:hAnsi="宋体"/>
                <w:sz w:val="18"/>
                <w:szCs w:val="18"/>
              </w:rPr>
            </w:pPr>
            <w:r>
              <w:rPr>
                <w:rFonts w:ascii="宋体" w:hAnsi="宋体"/>
                <w:sz w:val="18"/>
                <w:szCs w:val="18"/>
              </w:rPr>
              <w:t xml:space="preserve">0.3544 </w:t>
            </w:r>
          </w:p>
        </w:tc>
        <w:tc>
          <w:tcPr>
            <w:tcW w:w="750" w:type="dxa"/>
            <w:noWrap/>
          </w:tcPr>
          <w:p w14:paraId="700E9DAE">
            <w:pPr>
              <w:pStyle w:val="39"/>
              <w:rPr>
                <w:rFonts w:ascii="宋体" w:hAnsi="宋体"/>
                <w:sz w:val="18"/>
                <w:szCs w:val="18"/>
              </w:rPr>
            </w:pPr>
            <w:r>
              <w:rPr>
                <w:rFonts w:ascii="宋体" w:hAnsi="宋体"/>
                <w:sz w:val="18"/>
                <w:szCs w:val="18"/>
              </w:rPr>
              <w:t xml:space="preserve">0.3376 </w:t>
            </w:r>
          </w:p>
        </w:tc>
      </w:tr>
      <w:tr w14:paraId="61D1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1" w:type="dxa"/>
            <w:noWrap/>
          </w:tcPr>
          <w:p w14:paraId="2938D1A9">
            <w:pPr>
              <w:pStyle w:val="39"/>
              <w:rPr>
                <w:rFonts w:ascii="宋体" w:hAnsi="宋体"/>
                <w:sz w:val="18"/>
                <w:szCs w:val="18"/>
              </w:rPr>
            </w:pPr>
            <w:r>
              <w:rPr>
                <w:rFonts w:ascii="宋体" w:hAnsi="宋体"/>
                <w:sz w:val="18"/>
                <w:szCs w:val="18"/>
              </w:rPr>
              <w:t xml:space="preserve">0.15 </w:t>
            </w:r>
          </w:p>
        </w:tc>
        <w:tc>
          <w:tcPr>
            <w:tcW w:w="751" w:type="dxa"/>
            <w:noWrap/>
          </w:tcPr>
          <w:p w14:paraId="03CFFBD1">
            <w:pPr>
              <w:pStyle w:val="39"/>
              <w:rPr>
                <w:rFonts w:ascii="宋体" w:hAnsi="宋体"/>
                <w:sz w:val="18"/>
                <w:szCs w:val="18"/>
              </w:rPr>
            </w:pPr>
            <w:r>
              <w:rPr>
                <w:rFonts w:ascii="宋体" w:hAnsi="宋体"/>
                <w:sz w:val="18"/>
                <w:szCs w:val="18"/>
              </w:rPr>
              <w:t xml:space="preserve">0.9080 </w:t>
            </w:r>
          </w:p>
        </w:tc>
        <w:tc>
          <w:tcPr>
            <w:tcW w:w="751" w:type="dxa"/>
            <w:noWrap/>
          </w:tcPr>
          <w:p w14:paraId="5CFC35F9">
            <w:pPr>
              <w:pStyle w:val="39"/>
              <w:rPr>
                <w:rFonts w:ascii="宋体" w:hAnsi="宋体"/>
                <w:sz w:val="18"/>
                <w:szCs w:val="18"/>
              </w:rPr>
            </w:pPr>
            <w:r>
              <w:rPr>
                <w:rFonts w:ascii="宋体" w:hAnsi="宋体"/>
                <w:sz w:val="18"/>
                <w:szCs w:val="18"/>
              </w:rPr>
              <w:t xml:space="preserve">0.8414 </w:t>
            </w:r>
          </w:p>
        </w:tc>
        <w:tc>
          <w:tcPr>
            <w:tcW w:w="751" w:type="dxa"/>
            <w:noWrap/>
          </w:tcPr>
          <w:p w14:paraId="52AF8260">
            <w:pPr>
              <w:pStyle w:val="39"/>
              <w:rPr>
                <w:rFonts w:ascii="宋体" w:hAnsi="宋体"/>
                <w:sz w:val="18"/>
                <w:szCs w:val="18"/>
              </w:rPr>
            </w:pPr>
            <w:r>
              <w:rPr>
                <w:rFonts w:ascii="宋体" w:hAnsi="宋体"/>
                <w:sz w:val="18"/>
                <w:szCs w:val="18"/>
              </w:rPr>
              <w:t xml:space="preserve">0.7833 </w:t>
            </w:r>
          </w:p>
        </w:tc>
        <w:tc>
          <w:tcPr>
            <w:tcW w:w="750" w:type="dxa"/>
            <w:noWrap/>
          </w:tcPr>
          <w:p w14:paraId="32296C73">
            <w:pPr>
              <w:pStyle w:val="39"/>
              <w:rPr>
                <w:rFonts w:ascii="宋体" w:hAnsi="宋体"/>
                <w:sz w:val="18"/>
                <w:szCs w:val="18"/>
              </w:rPr>
            </w:pPr>
            <w:r>
              <w:rPr>
                <w:rFonts w:ascii="宋体" w:hAnsi="宋体"/>
                <w:sz w:val="18"/>
                <w:szCs w:val="18"/>
              </w:rPr>
              <w:t xml:space="preserve">0.7320 </w:t>
            </w:r>
          </w:p>
        </w:tc>
        <w:tc>
          <w:tcPr>
            <w:tcW w:w="750" w:type="dxa"/>
            <w:noWrap/>
          </w:tcPr>
          <w:p w14:paraId="7A324DDE">
            <w:pPr>
              <w:pStyle w:val="39"/>
              <w:rPr>
                <w:rFonts w:ascii="宋体" w:hAnsi="宋体"/>
                <w:sz w:val="18"/>
                <w:szCs w:val="18"/>
              </w:rPr>
            </w:pPr>
            <w:r>
              <w:rPr>
                <w:rFonts w:ascii="宋体" w:hAnsi="宋体"/>
                <w:sz w:val="18"/>
                <w:szCs w:val="18"/>
              </w:rPr>
              <w:t xml:space="preserve">0.6866 </w:t>
            </w:r>
          </w:p>
        </w:tc>
        <w:tc>
          <w:tcPr>
            <w:tcW w:w="750" w:type="dxa"/>
            <w:noWrap/>
          </w:tcPr>
          <w:p w14:paraId="76E23289">
            <w:pPr>
              <w:pStyle w:val="39"/>
              <w:rPr>
                <w:rFonts w:ascii="宋体" w:hAnsi="宋体"/>
                <w:sz w:val="18"/>
                <w:szCs w:val="18"/>
              </w:rPr>
            </w:pPr>
            <w:r>
              <w:rPr>
                <w:rFonts w:ascii="宋体" w:hAnsi="宋体"/>
                <w:sz w:val="18"/>
                <w:szCs w:val="18"/>
              </w:rPr>
              <w:t xml:space="preserve">0.6461 </w:t>
            </w:r>
          </w:p>
        </w:tc>
        <w:tc>
          <w:tcPr>
            <w:tcW w:w="750" w:type="dxa"/>
            <w:noWrap/>
          </w:tcPr>
          <w:p w14:paraId="5EB99965">
            <w:pPr>
              <w:pStyle w:val="39"/>
              <w:rPr>
                <w:rFonts w:ascii="宋体" w:hAnsi="宋体"/>
                <w:sz w:val="18"/>
                <w:szCs w:val="18"/>
              </w:rPr>
            </w:pPr>
            <w:r>
              <w:rPr>
                <w:rFonts w:ascii="宋体" w:hAnsi="宋体"/>
                <w:sz w:val="18"/>
                <w:szCs w:val="18"/>
              </w:rPr>
              <w:t xml:space="preserve">0.6098 </w:t>
            </w:r>
          </w:p>
        </w:tc>
        <w:tc>
          <w:tcPr>
            <w:tcW w:w="750" w:type="dxa"/>
            <w:noWrap/>
          </w:tcPr>
          <w:p w14:paraId="113E99A0">
            <w:pPr>
              <w:pStyle w:val="39"/>
              <w:rPr>
                <w:rFonts w:ascii="宋体" w:hAnsi="宋体"/>
                <w:sz w:val="18"/>
                <w:szCs w:val="18"/>
              </w:rPr>
            </w:pPr>
            <w:r>
              <w:rPr>
                <w:rFonts w:ascii="宋体" w:hAnsi="宋体"/>
                <w:sz w:val="18"/>
                <w:szCs w:val="18"/>
              </w:rPr>
              <w:t xml:space="preserve">0.5772 </w:t>
            </w:r>
          </w:p>
        </w:tc>
        <w:tc>
          <w:tcPr>
            <w:tcW w:w="750" w:type="dxa"/>
            <w:noWrap/>
          </w:tcPr>
          <w:p w14:paraId="2998521D">
            <w:pPr>
              <w:pStyle w:val="39"/>
              <w:rPr>
                <w:rFonts w:ascii="宋体" w:hAnsi="宋体"/>
                <w:sz w:val="18"/>
                <w:szCs w:val="18"/>
              </w:rPr>
            </w:pPr>
            <w:r>
              <w:rPr>
                <w:rFonts w:ascii="宋体" w:hAnsi="宋体"/>
                <w:sz w:val="18"/>
                <w:szCs w:val="18"/>
              </w:rPr>
              <w:t xml:space="preserve">0.5476 </w:t>
            </w:r>
          </w:p>
        </w:tc>
        <w:tc>
          <w:tcPr>
            <w:tcW w:w="750" w:type="dxa"/>
            <w:noWrap/>
          </w:tcPr>
          <w:p w14:paraId="5392E4D9">
            <w:pPr>
              <w:pStyle w:val="39"/>
              <w:rPr>
                <w:rFonts w:ascii="宋体" w:hAnsi="宋体"/>
                <w:sz w:val="18"/>
                <w:szCs w:val="18"/>
              </w:rPr>
            </w:pPr>
            <w:r>
              <w:rPr>
                <w:rFonts w:ascii="宋体" w:hAnsi="宋体"/>
                <w:sz w:val="18"/>
                <w:szCs w:val="18"/>
              </w:rPr>
              <w:t xml:space="preserve">0.5207 </w:t>
            </w:r>
          </w:p>
        </w:tc>
        <w:tc>
          <w:tcPr>
            <w:tcW w:w="750" w:type="dxa"/>
            <w:noWrap/>
          </w:tcPr>
          <w:p w14:paraId="45622928">
            <w:pPr>
              <w:pStyle w:val="39"/>
              <w:rPr>
                <w:rFonts w:ascii="宋体" w:hAnsi="宋体"/>
                <w:sz w:val="18"/>
                <w:szCs w:val="18"/>
              </w:rPr>
            </w:pPr>
            <w:r>
              <w:rPr>
                <w:rFonts w:ascii="宋体" w:hAnsi="宋体"/>
                <w:sz w:val="18"/>
                <w:szCs w:val="18"/>
              </w:rPr>
              <w:t xml:space="preserve">0.4962 </w:t>
            </w:r>
          </w:p>
        </w:tc>
      </w:tr>
      <w:tr w14:paraId="294E1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1" w:type="dxa"/>
            <w:noWrap/>
          </w:tcPr>
          <w:p w14:paraId="44BCC9CE">
            <w:pPr>
              <w:pStyle w:val="39"/>
              <w:rPr>
                <w:rFonts w:ascii="宋体" w:hAnsi="宋体"/>
                <w:sz w:val="18"/>
                <w:szCs w:val="18"/>
              </w:rPr>
            </w:pPr>
            <w:r>
              <w:rPr>
                <w:rFonts w:ascii="宋体" w:hAnsi="宋体"/>
                <w:sz w:val="18"/>
                <w:szCs w:val="18"/>
              </w:rPr>
              <w:t xml:space="preserve">0.20 </w:t>
            </w:r>
          </w:p>
        </w:tc>
        <w:tc>
          <w:tcPr>
            <w:tcW w:w="751" w:type="dxa"/>
            <w:noWrap/>
          </w:tcPr>
          <w:p w14:paraId="1996CF36">
            <w:pPr>
              <w:pStyle w:val="39"/>
              <w:rPr>
                <w:rFonts w:ascii="宋体" w:hAnsi="宋体"/>
                <w:sz w:val="18"/>
                <w:szCs w:val="18"/>
              </w:rPr>
            </w:pPr>
            <w:r>
              <w:rPr>
                <w:rFonts w:ascii="宋体" w:hAnsi="宋体"/>
                <w:sz w:val="18"/>
                <w:szCs w:val="18"/>
              </w:rPr>
              <w:t xml:space="preserve">1.1755 </w:t>
            </w:r>
          </w:p>
        </w:tc>
        <w:tc>
          <w:tcPr>
            <w:tcW w:w="751" w:type="dxa"/>
            <w:noWrap/>
          </w:tcPr>
          <w:p w14:paraId="49980942">
            <w:pPr>
              <w:pStyle w:val="39"/>
              <w:rPr>
                <w:rFonts w:ascii="宋体" w:hAnsi="宋体"/>
                <w:sz w:val="18"/>
                <w:szCs w:val="18"/>
              </w:rPr>
            </w:pPr>
            <w:r>
              <w:rPr>
                <w:rFonts w:ascii="宋体" w:hAnsi="宋体"/>
                <w:sz w:val="18"/>
                <w:szCs w:val="18"/>
              </w:rPr>
              <w:t xml:space="preserve">1.0895 </w:t>
            </w:r>
          </w:p>
        </w:tc>
        <w:tc>
          <w:tcPr>
            <w:tcW w:w="751" w:type="dxa"/>
            <w:noWrap/>
          </w:tcPr>
          <w:p w14:paraId="68A7FD1E">
            <w:pPr>
              <w:pStyle w:val="39"/>
              <w:rPr>
                <w:rFonts w:ascii="宋体" w:hAnsi="宋体"/>
                <w:sz w:val="18"/>
                <w:szCs w:val="18"/>
              </w:rPr>
            </w:pPr>
            <w:r>
              <w:rPr>
                <w:rFonts w:ascii="宋体" w:hAnsi="宋体"/>
                <w:sz w:val="18"/>
                <w:szCs w:val="18"/>
              </w:rPr>
              <w:t xml:space="preserve">1.0141 </w:t>
            </w:r>
          </w:p>
        </w:tc>
        <w:tc>
          <w:tcPr>
            <w:tcW w:w="750" w:type="dxa"/>
            <w:noWrap/>
          </w:tcPr>
          <w:p w14:paraId="0FA6676E">
            <w:pPr>
              <w:pStyle w:val="39"/>
              <w:rPr>
                <w:rFonts w:ascii="宋体" w:hAnsi="宋体"/>
                <w:sz w:val="18"/>
                <w:szCs w:val="18"/>
              </w:rPr>
            </w:pPr>
            <w:r>
              <w:rPr>
                <w:rFonts w:ascii="宋体" w:hAnsi="宋体"/>
                <w:sz w:val="18"/>
                <w:szCs w:val="18"/>
              </w:rPr>
              <w:t xml:space="preserve">0.9478 </w:t>
            </w:r>
          </w:p>
        </w:tc>
        <w:tc>
          <w:tcPr>
            <w:tcW w:w="750" w:type="dxa"/>
            <w:noWrap/>
          </w:tcPr>
          <w:p w14:paraId="7DDAA047">
            <w:pPr>
              <w:pStyle w:val="39"/>
              <w:rPr>
                <w:rFonts w:ascii="宋体" w:hAnsi="宋体"/>
                <w:sz w:val="18"/>
                <w:szCs w:val="18"/>
              </w:rPr>
            </w:pPr>
            <w:r>
              <w:rPr>
                <w:rFonts w:ascii="宋体" w:hAnsi="宋体"/>
                <w:sz w:val="18"/>
                <w:szCs w:val="18"/>
              </w:rPr>
              <w:t xml:space="preserve">0.8890 </w:t>
            </w:r>
          </w:p>
        </w:tc>
        <w:tc>
          <w:tcPr>
            <w:tcW w:w="750" w:type="dxa"/>
            <w:noWrap/>
          </w:tcPr>
          <w:p w14:paraId="4743C246">
            <w:pPr>
              <w:pStyle w:val="39"/>
              <w:rPr>
                <w:rFonts w:ascii="宋体" w:hAnsi="宋体"/>
                <w:sz w:val="18"/>
                <w:szCs w:val="18"/>
              </w:rPr>
            </w:pPr>
            <w:r>
              <w:rPr>
                <w:rFonts w:ascii="宋体" w:hAnsi="宋体"/>
                <w:sz w:val="18"/>
                <w:szCs w:val="18"/>
              </w:rPr>
              <w:t xml:space="preserve">0.8367 </w:t>
            </w:r>
          </w:p>
        </w:tc>
        <w:tc>
          <w:tcPr>
            <w:tcW w:w="750" w:type="dxa"/>
            <w:noWrap/>
          </w:tcPr>
          <w:p w14:paraId="0D80C249">
            <w:pPr>
              <w:pStyle w:val="39"/>
              <w:rPr>
                <w:rFonts w:ascii="宋体" w:hAnsi="宋体"/>
                <w:sz w:val="18"/>
                <w:szCs w:val="18"/>
              </w:rPr>
            </w:pPr>
            <w:r>
              <w:rPr>
                <w:rFonts w:ascii="宋体" w:hAnsi="宋体"/>
                <w:sz w:val="18"/>
                <w:szCs w:val="18"/>
              </w:rPr>
              <w:t xml:space="preserve">0.7898 </w:t>
            </w:r>
          </w:p>
        </w:tc>
        <w:tc>
          <w:tcPr>
            <w:tcW w:w="750" w:type="dxa"/>
            <w:noWrap/>
          </w:tcPr>
          <w:p w14:paraId="1FAA2F9B">
            <w:pPr>
              <w:pStyle w:val="39"/>
              <w:rPr>
                <w:rFonts w:ascii="宋体" w:hAnsi="宋体"/>
                <w:sz w:val="18"/>
                <w:szCs w:val="18"/>
              </w:rPr>
            </w:pPr>
            <w:r>
              <w:rPr>
                <w:rFonts w:ascii="宋体" w:hAnsi="宋体"/>
                <w:sz w:val="18"/>
                <w:szCs w:val="18"/>
              </w:rPr>
              <w:t xml:space="preserve">0.7475 </w:t>
            </w:r>
          </w:p>
        </w:tc>
        <w:tc>
          <w:tcPr>
            <w:tcW w:w="750" w:type="dxa"/>
            <w:noWrap/>
          </w:tcPr>
          <w:p w14:paraId="5EF112EA">
            <w:pPr>
              <w:pStyle w:val="39"/>
              <w:rPr>
                <w:rFonts w:ascii="宋体" w:hAnsi="宋体"/>
                <w:sz w:val="18"/>
                <w:szCs w:val="18"/>
              </w:rPr>
            </w:pPr>
            <w:r>
              <w:rPr>
                <w:rFonts w:ascii="宋体" w:hAnsi="宋体"/>
                <w:sz w:val="18"/>
                <w:szCs w:val="18"/>
              </w:rPr>
              <w:t xml:space="preserve">0.7092 </w:t>
            </w:r>
          </w:p>
        </w:tc>
        <w:tc>
          <w:tcPr>
            <w:tcW w:w="750" w:type="dxa"/>
            <w:noWrap/>
          </w:tcPr>
          <w:p w14:paraId="616F9165">
            <w:pPr>
              <w:pStyle w:val="39"/>
              <w:rPr>
                <w:rFonts w:ascii="宋体" w:hAnsi="宋体"/>
                <w:sz w:val="18"/>
                <w:szCs w:val="18"/>
              </w:rPr>
            </w:pPr>
            <w:r>
              <w:rPr>
                <w:rFonts w:ascii="宋体" w:hAnsi="宋体"/>
                <w:sz w:val="18"/>
                <w:szCs w:val="18"/>
              </w:rPr>
              <w:t xml:space="preserve">0.6745 </w:t>
            </w:r>
          </w:p>
        </w:tc>
        <w:tc>
          <w:tcPr>
            <w:tcW w:w="750" w:type="dxa"/>
            <w:noWrap/>
          </w:tcPr>
          <w:p w14:paraId="1029A93C">
            <w:pPr>
              <w:pStyle w:val="39"/>
              <w:rPr>
                <w:rFonts w:ascii="宋体" w:hAnsi="宋体"/>
                <w:sz w:val="18"/>
                <w:szCs w:val="18"/>
              </w:rPr>
            </w:pPr>
            <w:r>
              <w:rPr>
                <w:rFonts w:ascii="宋体" w:hAnsi="宋体"/>
                <w:sz w:val="18"/>
                <w:szCs w:val="18"/>
              </w:rPr>
              <w:t xml:space="preserve">0.6428 </w:t>
            </w:r>
          </w:p>
        </w:tc>
      </w:tr>
      <w:tr w14:paraId="58096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1" w:type="dxa"/>
            <w:noWrap/>
          </w:tcPr>
          <w:p w14:paraId="34126918">
            <w:pPr>
              <w:pStyle w:val="39"/>
              <w:rPr>
                <w:rFonts w:ascii="宋体" w:hAnsi="宋体"/>
                <w:sz w:val="18"/>
                <w:szCs w:val="18"/>
              </w:rPr>
            </w:pPr>
            <w:r>
              <w:rPr>
                <w:rFonts w:ascii="宋体" w:hAnsi="宋体"/>
                <w:sz w:val="18"/>
                <w:szCs w:val="18"/>
              </w:rPr>
              <w:t xml:space="preserve">0.25 </w:t>
            </w:r>
          </w:p>
        </w:tc>
        <w:tc>
          <w:tcPr>
            <w:tcW w:w="751" w:type="dxa"/>
            <w:noWrap/>
          </w:tcPr>
          <w:p w14:paraId="41568A72">
            <w:pPr>
              <w:pStyle w:val="39"/>
              <w:rPr>
                <w:rFonts w:ascii="宋体" w:hAnsi="宋体"/>
                <w:sz w:val="18"/>
                <w:szCs w:val="18"/>
              </w:rPr>
            </w:pPr>
            <w:r>
              <w:rPr>
                <w:rFonts w:ascii="宋体" w:hAnsi="宋体"/>
                <w:sz w:val="18"/>
                <w:szCs w:val="18"/>
              </w:rPr>
              <w:t xml:space="preserve">1.4142 </w:t>
            </w:r>
          </w:p>
        </w:tc>
        <w:tc>
          <w:tcPr>
            <w:tcW w:w="751" w:type="dxa"/>
            <w:noWrap/>
          </w:tcPr>
          <w:p w14:paraId="300A1141">
            <w:pPr>
              <w:pStyle w:val="39"/>
              <w:rPr>
                <w:rFonts w:ascii="宋体" w:hAnsi="宋体"/>
                <w:sz w:val="18"/>
                <w:szCs w:val="18"/>
              </w:rPr>
            </w:pPr>
            <w:r>
              <w:rPr>
                <w:rFonts w:ascii="宋体" w:hAnsi="宋体"/>
                <w:sz w:val="18"/>
                <w:szCs w:val="18"/>
              </w:rPr>
              <w:t xml:space="preserve">1.3106 </w:t>
            </w:r>
          </w:p>
        </w:tc>
        <w:tc>
          <w:tcPr>
            <w:tcW w:w="751" w:type="dxa"/>
            <w:noWrap/>
          </w:tcPr>
          <w:p w14:paraId="0D44BC4A">
            <w:pPr>
              <w:pStyle w:val="39"/>
              <w:rPr>
                <w:rFonts w:ascii="宋体" w:hAnsi="宋体"/>
                <w:sz w:val="18"/>
                <w:szCs w:val="18"/>
              </w:rPr>
            </w:pPr>
            <w:r>
              <w:rPr>
                <w:rFonts w:ascii="宋体" w:hAnsi="宋体"/>
                <w:sz w:val="18"/>
                <w:szCs w:val="18"/>
              </w:rPr>
              <w:t xml:space="preserve">1.2200 </w:t>
            </w:r>
          </w:p>
        </w:tc>
        <w:tc>
          <w:tcPr>
            <w:tcW w:w="750" w:type="dxa"/>
            <w:noWrap/>
          </w:tcPr>
          <w:p w14:paraId="20F815E9">
            <w:pPr>
              <w:pStyle w:val="39"/>
              <w:rPr>
                <w:rFonts w:ascii="宋体" w:hAnsi="宋体"/>
                <w:sz w:val="18"/>
                <w:szCs w:val="18"/>
              </w:rPr>
            </w:pPr>
            <w:r>
              <w:rPr>
                <w:rFonts w:ascii="宋体" w:hAnsi="宋体"/>
                <w:sz w:val="18"/>
                <w:szCs w:val="18"/>
              </w:rPr>
              <w:t xml:space="preserve">1.1403 </w:t>
            </w:r>
          </w:p>
        </w:tc>
        <w:tc>
          <w:tcPr>
            <w:tcW w:w="750" w:type="dxa"/>
            <w:noWrap/>
          </w:tcPr>
          <w:p w14:paraId="686D59DE">
            <w:pPr>
              <w:pStyle w:val="39"/>
              <w:rPr>
                <w:rFonts w:ascii="宋体" w:hAnsi="宋体"/>
                <w:sz w:val="18"/>
                <w:szCs w:val="18"/>
              </w:rPr>
            </w:pPr>
            <w:r>
              <w:rPr>
                <w:rFonts w:ascii="宋体" w:hAnsi="宋体"/>
                <w:sz w:val="18"/>
                <w:szCs w:val="18"/>
              </w:rPr>
              <w:t xml:space="preserve">1.0697 </w:t>
            </w:r>
          </w:p>
        </w:tc>
        <w:tc>
          <w:tcPr>
            <w:tcW w:w="750" w:type="dxa"/>
            <w:noWrap/>
          </w:tcPr>
          <w:p w14:paraId="461D8BC4">
            <w:pPr>
              <w:pStyle w:val="39"/>
              <w:rPr>
                <w:rFonts w:ascii="宋体" w:hAnsi="宋体"/>
                <w:sz w:val="18"/>
                <w:szCs w:val="18"/>
              </w:rPr>
            </w:pPr>
            <w:r>
              <w:rPr>
                <w:rFonts w:ascii="宋体" w:hAnsi="宋体"/>
                <w:sz w:val="18"/>
                <w:szCs w:val="18"/>
              </w:rPr>
              <w:t xml:space="preserve">1.0068 </w:t>
            </w:r>
          </w:p>
        </w:tc>
        <w:tc>
          <w:tcPr>
            <w:tcW w:w="750" w:type="dxa"/>
            <w:noWrap/>
          </w:tcPr>
          <w:p w14:paraId="7687AA2D">
            <w:pPr>
              <w:pStyle w:val="39"/>
              <w:rPr>
                <w:rFonts w:ascii="宋体" w:hAnsi="宋体"/>
                <w:sz w:val="18"/>
                <w:szCs w:val="18"/>
              </w:rPr>
            </w:pPr>
            <w:r>
              <w:rPr>
                <w:rFonts w:ascii="宋体" w:hAnsi="宋体"/>
                <w:sz w:val="18"/>
                <w:szCs w:val="18"/>
              </w:rPr>
              <w:t xml:space="preserve">0.9505 </w:t>
            </w:r>
          </w:p>
        </w:tc>
        <w:tc>
          <w:tcPr>
            <w:tcW w:w="750" w:type="dxa"/>
            <w:noWrap/>
          </w:tcPr>
          <w:p w14:paraId="4D988798">
            <w:pPr>
              <w:pStyle w:val="39"/>
              <w:rPr>
                <w:rFonts w:ascii="宋体" w:hAnsi="宋体"/>
                <w:sz w:val="18"/>
                <w:szCs w:val="18"/>
              </w:rPr>
            </w:pPr>
            <w:r>
              <w:rPr>
                <w:rFonts w:ascii="宋体" w:hAnsi="宋体"/>
                <w:sz w:val="18"/>
                <w:szCs w:val="18"/>
              </w:rPr>
              <w:t xml:space="preserve">0.8998 </w:t>
            </w:r>
          </w:p>
        </w:tc>
        <w:tc>
          <w:tcPr>
            <w:tcW w:w="750" w:type="dxa"/>
            <w:noWrap/>
          </w:tcPr>
          <w:p w14:paraId="6F96A6CF">
            <w:pPr>
              <w:pStyle w:val="39"/>
              <w:rPr>
                <w:rFonts w:ascii="宋体" w:hAnsi="宋体"/>
                <w:sz w:val="18"/>
                <w:szCs w:val="18"/>
              </w:rPr>
            </w:pPr>
            <w:r>
              <w:rPr>
                <w:rFonts w:ascii="宋体" w:hAnsi="宋体"/>
                <w:sz w:val="18"/>
                <w:szCs w:val="18"/>
              </w:rPr>
              <w:t xml:space="preserve">0.8540 </w:t>
            </w:r>
          </w:p>
        </w:tc>
        <w:tc>
          <w:tcPr>
            <w:tcW w:w="750" w:type="dxa"/>
            <w:noWrap/>
          </w:tcPr>
          <w:p w14:paraId="018A562E">
            <w:pPr>
              <w:pStyle w:val="39"/>
              <w:rPr>
                <w:rFonts w:ascii="宋体" w:hAnsi="宋体"/>
                <w:sz w:val="18"/>
                <w:szCs w:val="18"/>
              </w:rPr>
            </w:pPr>
            <w:r>
              <w:rPr>
                <w:rFonts w:ascii="宋体" w:hAnsi="宋体"/>
                <w:sz w:val="18"/>
                <w:szCs w:val="18"/>
              </w:rPr>
              <w:t xml:space="preserve">0.8123 </w:t>
            </w:r>
          </w:p>
        </w:tc>
        <w:tc>
          <w:tcPr>
            <w:tcW w:w="750" w:type="dxa"/>
            <w:noWrap/>
          </w:tcPr>
          <w:p w14:paraId="3318C34E">
            <w:pPr>
              <w:pStyle w:val="39"/>
              <w:rPr>
                <w:rFonts w:ascii="宋体" w:hAnsi="宋体"/>
                <w:sz w:val="18"/>
                <w:szCs w:val="18"/>
              </w:rPr>
            </w:pPr>
            <w:r>
              <w:rPr>
                <w:rFonts w:ascii="宋体" w:hAnsi="宋体"/>
                <w:sz w:val="18"/>
                <w:szCs w:val="18"/>
              </w:rPr>
              <w:t xml:space="preserve">0.7743 </w:t>
            </w:r>
          </w:p>
        </w:tc>
      </w:tr>
      <w:tr w14:paraId="2DDC6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1" w:type="dxa"/>
            <w:noWrap/>
          </w:tcPr>
          <w:p w14:paraId="7AF5F79D">
            <w:pPr>
              <w:pStyle w:val="39"/>
              <w:rPr>
                <w:rFonts w:ascii="宋体" w:hAnsi="宋体"/>
                <w:sz w:val="18"/>
                <w:szCs w:val="18"/>
              </w:rPr>
            </w:pPr>
            <w:r>
              <w:rPr>
                <w:rFonts w:ascii="宋体" w:hAnsi="宋体"/>
                <w:sz w:val="18"/>
                <w:szCs w:val="18"/>
              </w:rPr>
              <w:t xml:space="preserve">0.30 </w:t>
            </w:r>
          </w:p>
        </w:tc>
        <w:tc>
          <w:tcPr>
            <w:tcW w:w="751" w:type="dxa"/>
            <w:noWrap/>
          </w:tcPr>
          <w:p w14:paraId="492933A0">
            <w:pPr>
              <w:pStyle w:val="39"/>
              <w:rPr>
                <w:rFonts w:ascii="宋体" w:hAnsi="宋体"/>
                <w:sz w:val="18"/>
                <w:szCs w:val="18"/>
              </w:rPr>
            </w:pPr>
            <w:r>
              <w:rPr>
                <w:rFonts w:ascii="宋体" w:hAnsi="宋体"/>
                <w:sz w:val="18"/>
                <w:szCs w:val="18"/>
              </w:rPr>
              <w:t xml:space="preserve">1.6181 </w:t>
            </w:r>
          </w:p>
        </w:tc>
        <w:tc>
          <w:tcPr>
            <w:tcW w:w="751" w:type="dxa"/>
            <w:noWrap/>
          </w:tcPr>
          <w:p w14:paraId="4CAE690D">
            <w:pPr>
              <w:pStyle w:val="39"/>
              <w:rPr>
                <w:rFonts w:ascii="宋体" w:hAnsi="宋体"/>
                <w:sz w:val="18"/>
                <w:szCs w:val="18"/>
              </w:rPr>
            </w:pPr>
            <w:r>
              <w:rPr>
                <w:rFonts w:ascii="宋体" w:hAnsi="宋体"/>
                <w:sz w:val="18"/>
                <w:szCs w:val="18"/>
              </w:rPr>
              <w:t xml:space="preserve">1.4995 </w:t>
            </w:r>
          </w:p>
        </w:tc>
        <w:tc>
          <w:tcPr>
            <w:tcW w:w="751" w:type="dxa"/>
            <w:noWrap/>
          </w:tcPr>
          <w:p w14:paraId="5A00EF16">
            <w:pPr>
              <w:pStyle w:val="39"/>
              <w:rPr>
                <w:rFonts w:ascii="宋体" w:hAnsi="宋体"/>
                <w:sz w:val="18"/>
                <w:szCs w:val="18"/>
              </w:rPr>
            </w:pPr>
            <w:r>
              <w:rPr>
                <w:rFonts w:ascii="宋体" w:hAnsi="宋体"/>
                <w:sz w:val="18"/>
                <w:szCs w:val="18"/>
              </w:rPr>
              <w:t xml:space="preserve">1.3960 </w:t>
            </w:r>
          </w:p>
        </w:tc>
        <w:tc>
          <w:tcPr>
            <w:tcW w:w="750" w:type="dxa"/>
            <w:noWrap/>
          </w:tcPr>
          <w:p w14:paraId="70E11740">
            <w:pPr>
              <w:pStyle w:val="39"/>
              <w:rPr>
                <w:rFonts w:ascii="宋体" w:hAnsi="宋体"/>
                <w:sz w:val="18"/>
                <w:szCs w:val="18"/>
              </w:rPr>
            </w:pPr>
            <w:r>
              <w:rPr>
                <w:rFonts w:ascii="宋体" w:hAnsi="宋体"/>
                <w:sz w:val="18"/>
                <w:szCs w:val="18"/>
              </w:rPr>
              <w:t xml:space="preserve">1.3051 </w:t>
            </w:r>
          </w:p>
        </w:tc>
        <w:tc>
          <w:tcPr>
            <w:tcW w:w="750" w:type="dxa"/>
            <w:noWrap/>
          </w:tcPr>
          <w:p w14:paraId="0645E08C">
            <w:pPr>
              <w:pStyle w:val="39"/>
              <w:rPr>
                <w:rFonts w:ascii="宋体" w:hAnsi="宋体"/>
                <w:sz w:val="18"/>
                <w:szCs w:val="18"/>
              </w:rPr>
            </w:pPr>
            <w:r>
              <w:rPr>
                <w:rFonts w:ascii="宋体" w:hAnsi="宋体"/>
                <w:sz w:val="18"/>
                <w:szCs w:val="18"/>
              </w:rPr>
              <w:t xml:space="preserve">1.2245 </w:t>
            </w:r>
          </w:p>
        </w:tc>
        <w:tc>
          <w:tcPr>
            <w:tcW w:w="750" w:type="dxa"/>
            <w:noWrap/>
          </w:tcPr>
          <w:p w14:paraId="41C41CB9">
            <w:pPr>
              <w:pStyle w:val="39"/>
              <w:rPr>
                <w:rFonts w:ascii="宋体" w:hAnsi="宋体"/>
                <w:sz w:val="18"/>
                <w:szCs w:val="18"/>
              </w:rPr>
            </w:pPr>
            <w:r>
              <w:rPr>
                <w:rFonts w:ascii="宋体" w:hAnsi="宋体"/>
                <w:sz w:val="18"/>
                <w:szCs w:val="18"/>
              </w:rPr>
              <w:t xml:space="preserve">1.1528 </w:t>
            </w:r>
          </w:p>
        </w:tc>
        <w:tc>
          <w:tcPr>
            <w:tcW w:w="750" w:type="dxa"/>
            <w:noWrap/>
          </w:tcPr>
          <w:p w14:paraId="1B8EB216">
            <w:pPr>
              <w:pStyle w:val="39"/>
              <w:rPr>
                <w:rFonts w:ascii="宋体" w:hAnsi="宋体"/>
                <w:sz w:val="18"/>
                <w:szCs w:val="18"/>
              </w:rPr>
            </w:pPr>
            <w:r>
              <w:rPr>
                <w:rFonts w:ascii="宋体" w:hAnsi="宋体"/>
                <w:sz w:val="18"/>
                <w:szCs w:val="18"/>
              </w:rPr>
              <w:t xml:space="preserve">1.0886 </w:t>
            </w:r>
          </w:p>
        </w:tc>
        <w:tc>
          <w:tcPr>
            <w:tcW w:w="750" w:type="dxa"/>
            <w:noWrap/>
          </w:tcPr>
          <w:p w14:paraId="4C52B767">
            <w:pPr>
              <w:pStyle w:val="39"/>
              <w:rPr>
                <w:rFonts w:ascii="宋体" w:hAnsi="宋体"/>
                <w:sz w:val="18"/>
                <w:szCs w:val="18"/>
              </w:rPr>
            </w:pPr>
            <w:r>
              <w:rPr>
                <w:rFonts w:ascii="宋体" w:hAnsi="宋体"/>
                <w:sz w:val="18"/>
                <w:szCs w:val="18"/>
              </w:rPr>
              <w:t xml:space="preserve">1.0309 </w:t>
            </w:r>
          </w:p>
        </w:tc>
        <w:tc>
          <w:tcPr>
            <w:tcW w:w="750" w:type="dxa"/>
            <w:noWrap/>
          </w:tcPr>
          <w:p w14:paraId="1C52DA37">
            <w:pPr>
              <w:pStyle w:val="39"/>
              <w:rPr>
                <w:rFonts w:ascii="宋体" w:hAnsi="宋体"/>
                <w:sz w:val="18"/>
                <w:szCs w:val="18"/>
              </w:rPr>
            </w:pPr>
            <w:r>
              <w:rPr>
                <w:rFonts w:ascii="宋体" w:hAnsi="宋体"/>
                <w:sz w:val="18"/>
                <w:szCs w:val="18"/>
              </w:rPr>
              <w:t xml:space="preserve">0.9787 </w:t>
            </w:r>
          </w:p>
        </w:tc>
        <w:tc>
          <w:tcPr>
            <w:tcW w:w="750" w:type="dxa"/>
            <w:noWrap/>
          </w:tcPr>
          <w:p w14:paraId="318A23C2">
            <w:pPr>
              <w:pStyle w:val="39"/>
              <w:rPr>
                <w:rFonts w:ascii="宋体" w:hAnsi="宋体"/>
                <w:sz w:val="18"/>
                <w:szCs w:val="18"/>
              </w:rPr>
            </w:pPr>
            <w:r>
              <w:rPr>
                <w:rFonts w:ascii="宋体" w:hAnsi="宋体"/>
                <w:sz w:val="18"/>
                <w:szCs w:val="18"/>
              </w:rPr>
              <w:t xml:space="preserve">0.9314 </w:t>
            </w:r>
          </w:p>
        </w:tc>
        <w:tc>
          <w:tcPr>
            <w:tcW w:w="750" w:type="dxa"/>
            <w:noWrap/>
          </w:tcPr>
          <w:p w14:paraId="1B8A90A9">
            <w:pPr>
              <w:pStyle w:val="39"/>
              <w:rPr>
                <w:rFonts w:ascii="宋体" w:hAnsi="宋体"/>
                <w:sz w:val="18"/>
                <w:szCs w:val="18"/>
              </w:rPr>
            </w:pPr>
            <w:r>
              <w:rPr>
                <w:rFonts w:ascii="宋体" w:hAnsi="宋体"/>
                <w:sz w:val="18"/>
                <w:szCs w:val="18"/>
              </w:rPr>
              <w:t xml:space="preserve">0.8882 </w:t>
            </w:r>
          </w:p>
        </w:tc>
      </w:tr>
      <w:tr w14:paraId="0C6E1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1" w:type="dxa"/>
            <w:noWrap/>
          </w:tcPr>
          <w:p w14:paraId="7C3395B1">
            <w:pPr>
              <w:pStyle w:val="39"/>
              <w:rPr>
                <w:rFonts w:ascii="宋体" w:hAnsi="宋体"/>
                <w:sz w:val="18"/>
                <w:szCs w:val="18"/>
              </w:rPr>
            </w:pPr>
            <w:r>
              <w:rPr>
                <w:rFonts w:ascii="宋体" w:hAnsi="宋体"/>
                <w:sz w:val="18"/>
                <w:szCs w:val="18"/>
              </w:rPr>
              <w:t xml:space="preserve">0.35 </w:t>
            </w:r>
          </w:p>
        </w:tc>
        <w:tc>
          <w:tcPr>
            <w:tcW w:w="751" w:type="dxa"/>
            <w:noWrap/>
          </w:tcPr>
          <w:p w14:paraId="6202B1B1">
            <w:pPr>
              <w:pStyle w:val="39"/>
              <w:rPr>
                <w:rFonts w:ascii="宋体" w:hAnsi="宋体"/>
                <w:sz w:val="18"/>
                <w:szCs w:val="18"/>
              </w:rPr>
            </w:pPr>
            <w:r>
              <w:rPr>
                <w:rFonts w:ascii="宋体" w:hAnsi="宋体"/>
                <w:sz w:val="18"/>
                <w:szCs w:val="18"/>
              </w:rPr>
              <w:t xml:space="preserve">1.7820 </w:t>
            </w:r>
          </w:p>
        </w:tc>
        <w:tc>
          <w:tcPr>
            <w:tcW w:w="751" w:type="dxa"/>
            <w:noWrap/>
          </w:tcPr>
          <w:p w14:paraId="1C67C006">
            <w:pPr>
              <w:pStyle w:val="39"/>
              <w:rPr>
                <w:rFonts w:ascii="宋体" w:hAnsi="宋体"/>
                <w:sz w:val="18"/>
                <w:szCs w:val="18"/>
              </w:rPr>
            </w:pPr>
            <w:r>
              <w:rPr>
                <w:rFonts w:ascii="宋体" w:hAnsi="宋体"/>
                <w:sz w:val="18"/>
                <w:szCs w:val="18"/>
              </w:rPr>
              <w:t xml:space="preserve">1.6516 </w:t>
            </w:r>
          </w:p>
        </w:tc>
        <w:tc>
          <w:tcPr>
            <w:tcW w:w="751" w:type="dxa"/>
            <w:noWrap/>
          </w:tcPr>
          <w:p w14:paraId="533E6F29">
            <w:pPr>
              <w:pStyle w:val="39"/>
              <w:rPr>
                <w:rFonts w:ascii="宋体" w:hAnsi="宋体"/>
                <w:sz w:val="18"/>
                <w:szCs w:val="18"/>
              </w:rPr>
            </w:pPr>
            <w:r>
              <w:rPr>
                <w:rFonts w:ascii="宋体" w:hAnsi="宋体"/>
                <w:sz w:val="18"/>
                <w:szCs w:val="18"/>
              </w:rPr>
              <w:t xml:space="preserve">1.5378 </w:t>
            </w:r>
          </w:p>
        </w:tc>
        <w:tc>
          <w:tcPr>
            <w:tcW w:w="750" w:type="dxa"/>
            <w:noWrap/>
          </w:tcPr>
          <w:p w14:paraId="1D3B4E97">
            <w:pPr>
              <w:pStyle w:val="39"/>
              <w:rPr>
                <w:rFonts w:ascii="宋体" w:hAnsi="宋体"/>
                <w:sz w:val="18"/>
                <w:szCs w:val="18"/>
              </w:rPr>
            </w:pPr>
            <w:r>
              <w:rPr>
                <w:rFonts w:ascii="宋体" w:hAnsi="宋体"/>
                <w:sz w:val="18"/>
                <w:szCs w:val="18"/>
              </w:rPr>
              <w:t xml:space="preserve">1.4379 </w:t>
            </w:r>
          </w:p>
        </w:tc>
        <w:tc>
          <w:tcPr>
            <w:tcW w:w="750" w:type="dxa"/>
            <w:noWrap/>
          </w:tcPr>
          <w:p w14:paraId="0742B067">
            <w:pPr>
              <w:pStyle w:val="39"/>
              <w:rPr>
                <w:rFonts w:ascii="宋体" w:hAnsi="宋体"/>
                <w:sz w:val="18"/>
                <w:szCs w:val="18"/>
              </w:rPr>
            </w:pPr>
            <w:r>
              <w:rPr>
                <w:rFonts w:ascii="宋体" w:hAnsi="宋体"/>
                <w:sz w:val="18"/>
                <w:szCs w:val="18"/>
              </w:rPr>
              <w:t xml:space="preserve">1.3497 </w:t>
            </w:r>
          </w:p>
        </w:tc>
        <w:tc>
          <w:tcPr>
            <w:tcW w:w="750" w:type="dxa"/>
            <w:noWrap/>
          </w:tcPr>
          <w:p w14:paraId="24762614">
            <w:pPr>
              <w:pStyle w:val="39"/>
              <w:rPr>
                <w:rFonts w:ascii="宋体" w:hAnsi="宋体"/>
                <w:sz w:val="18"/>
                <w:szCs w:val="18"/>
              </w:rPr>
            </w:pPr>
            <w:r>
              <w:rPr>
                <w:rFonts w:ascii="宋体" w:hAnsi="宋体"/>
                <w:sz w:val="18"/>
                <w:szCs w:val="18"/>
              </w:rPr>
              <w:t xml:space="preserve">1.2712 </w:t>
            </w:r>
          </w:p>
        </w:tc>
        <w:tc>
          <w:tcPr>
            <w:tcW w:w="750" w:type="dxa"/>
            <w:noWrap/>
          </w:tcPr>
          <w:p w14:paraId="639F8BC1">
            <w:pPr>
              <w:pStyle w:val="39"/>
              <w:rPr>
                <w:rFonts w:ascii="宋体" w:hAnsi="宋体"/>
                <w:sz w:val="18"/>
                <w:szCs w:val="18"/>
              </w:rPr>
            </w:pPr>
            <w:r>
              <w:rPr>
                <w:rFonts w:ascii="宋体" w:hAnsi="宋体"/>
                <w:sz w:val="18"/>
                <w:szCs w:val="18"/>
              </w:rPr>
              <w:t xml:space="preserve">1.2010 </w:t>
            </w:r>
          </w:p>
        </w:tc>
        <w:tc>
          <w:tcPr>
            <w:tcW w:w="750" w:type="dxa"/>
            <w:noWrap/>
          </w:tcPr>
          <w:p w14:paraId="7AC157AE">
            <w:pPr>
              <w:pStyle w:val="39"/>
              <w:rPr>
                <w:rFonts w:ascii="宋体" w:hAnsi="宋体"/>
                <w:sz w:val="18"/>
                <w:szCs w:val="18"/>
              </w:rPr>
            </w:pPr>
            <w:r>
              <w:rPr>
                <w:rFonts w:ascii="宋体" w:hAnsi="宋体"/>
                <w:sz w:val="18"/>
                <w:szCs w:val="18"/>
              </w:rPr>
              <w:t xml:space="preserve">1.1380 </w:t>
            </w:r>
          </w:p>
        </w:tc>
        <w:tc>
          <w:tcPr>
            <w:tcW w:w="750" w:type="dxa"/>
            <w:noWrap/>
          </w:tcPr>
          <w:p w14:paraId="664DB5FB">
            <w:pPr>
              <w:pStyle w:val="39"/>
              <w:rPr>
                <w:rFonts w:ascii="宋体" w:hAnsi="宋体"/>
                <w:sz w:val="18"/>
                <w:szCs w:val="18"/>
              </w:rPr>
            </w:pPr>
            <w:r>
              <w:rPr>
                <w:rFonts w:ascii="宋体" w:hAnsi="宋体"/>
                <w:sz w:val="18"/>
                <w:szCs w:val="18"/>
              </w:rPr>
              <w:t xml:space="preserve">1.0812 </w:t>
            </w:r>
          </w:p>
        </w:tc>
        <w:tc>
          <w:tcPr>
            <w:tcW w:w="750" w:type="dxa"/>
            <w:noWrap/>
          </w:tcPr>
          <w:p w14:paraId="4E4B3D1E">
            <w:pPr>
              <w:pStyle w:val="39"/>
              <w:rPr>
                <w:rFonts w:ascii="宋体" w:hAnsi="宋体"/>
                <w:sz w:val="18"/>
                <w:szCs w:val="18"/>
              </w:rPr>
            </w:pPr>
            <w:r>
              <w:rPr>
                <w:rFonts w:ascii="宋体" w:hAnsi="宋体"/>
                <w:sz w:val="18"/>
                <w:szCs w:val="18"/>
              </w:rPr>
              <w:t xml:space="preserve">1.0296 </w:t>
            </w:r>
          </w:p>
        </w:tc>
        <w:tc>
          <w:tcPr>
            <w:tcW w:w="750" w:type="dxa"/>
            <w:noWrap/>
          </w:tcPr>
          <w:p w14:paraId="3774870F">
            <w:pPr>
              <w:pStyle w:val="39"/>
              <w:rPr>
                <w:rFonts w:ascii="宋体" w:hAnsi="宋体"/>
                <w:sz w:val="18"/>
                <w:szCs w:val="18"/>
              </w:rPr>
            </w:pPr>
            <w:r>
              <w:rPr>
                <w:rFonts w:ascii="宋体" w:hAnsi="宋体"/>
                <w:sz w:val="18"/>
                <w:szCs w:val="18"/>
              </w:rPr>
              <w:t xml:space="preserve">0.9827 </w:t>
            </w:r>
          </w:p>
        </w:tc>
      </w:tr>
      <w:tr w14:paraId="1E7E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1" w:type="dxa"/>
            <w:noWrap/>
          </w:tcPr>
          <w:p w14:paraId="76A15181">
            <w:pPr>
              <w:pStyle w:val="39"/>
              <w:rPr>
                <w:rFonts w:ascii="宋体" w:hAnsi="宋体"/>
                <w:sz w:val="18"/>
                <w:szCs w:val="18"/>
              </w:rPr>
            </w:pPr>
            <w:r>
              <w:rPr>
                <w:rFonts w:ascii="宋体" w:hAnsi="宋体"/>
                <w:sz w:val="18"/>
                <w:szCs w:val="18"/>
              </w:rPr>
              <w:t xml:space="preserve">0.40 </w:t>
            </w:r>
          </w:p>
        </w:tc>
        <w:tc>
          <w:tcPr>
            <w:tcW w:w="751" w:type="dxa"/>
            <w:noWrap/>
          </w:tcPr>
          <w:p w14:paraId="25C0AAB1">
            <w:pPr>
              <w:pStyle w:val="39"/>
              <w:rPr>
                <w:rFonts w:ascii="宋体" w:hAnsi="宋体"/>
                <w:sz w:val="18"/>
                <w:szCs w:val="18"/>
              </w:rPr>
            </w:pPr>
            <w:r>
              <w:rPr>
                <w:rFonts w:ascii="宋体" w:hAnsi="宋体"/>
                <w:sz w:val="18"/>
                <w:szCs w:val="18"/>
              </w:rPr>
              <w:t xml:space="preserve">1.9021 </w:t>
            </w:r>
          </w:p>
        </w:tc>
        <w:tc>
          <w:tcPr>
            <w:tcW w:w="751" w:type="dxa"/>
            <w:noWrap/>
          </w:tcPr>
          <w:p w14:paraId="6B610045">
            <w:pPr>
              <w:pStyle w:val="39"/>
              <w:rPr>
                <w:rFonts w:ascii="宋体" w:hAnsi="宋体"/>
                <w:sz w:val="18"/>
                <w:szCs w:val="18"/>
              </w:rPr>
            </w:pPr>
            <w:r>
              <w:rPr>
                <w:rFonts w:ascii="宋体" w:hAnsi="宋体"/>
                <w:sz w:val="18"/>
                <w:szCs w:val="18"/>
              </w:rPr>
              <w:t xml:space="preserve">1.7630 </w:t>
            </w:r>
          </w:p>
        </w:tc>
        <w:tc>
          <w:tcPr>
            <w:tcW w:w="751" w:type="dxa"/>
            <w:noWrap/>
          </w:tcPr>
          <w:p w14:paraId="03544B36">
            <w:pPr>
              <w:pStyle w:val="39"/>
              <w:rPr>
                <w:rFonts w:ascii="宋体" w:hAnsi="宋体"/>
                <w:sz w:val="18"/>
                <w:szCs w:val="18"/>
              </w:rPr>
            </w:pPr>
            <w:r>
              <w:rPr>
                <w:rFonts w:ascii="宋体" w:hAnsi="宋体"/>
                <w:sz w:val="18"/>
                <w:szCs w:val="18"/>
              </w:rPr>
              <w:t xml:space="preserve">1.6420 </w:t>
            </w:r>
          </w:p>
        </w:tc>
        <w:tc>
          <w:tcPr>
            <w:tcW w:w="750" w:type="dxa"/>
            <w:noWrap/>
          </w:tcPr>
          <w:p w14:paraId="53D5F8B5">
            <w:pPr>
              <w:pStyle w:val="39"/>
              <w:rPr>
                <w:rFonts w:ascii="宋体" w:hAnsi="宋体"/>
                <w:sz w:val="18"/>
                <w:szCs w:val="18"/>
              </w:rPr>
            </w:pPr>
            <w:r>
              <w:rPr>
                <w:rFonts w:ascii="宋体" w:hAnsi="宋体"/>
                <w:sz w:val="18"/>
                <w:szCs w:val="18"/>
              </w:rPr>
              <w:t xml:space="preserve">1.5360 </w:t>
            </w:r>
          </w:p>
        </w:tc>
        <w:tc>
          <w:tcPr>
            <w:tcW w:w="750" w:type="dxa"/>
            <w:noWrap/>
          </w:tcPr>
          <w:p w14:paraId="52B32A65">
            <w:pPr>
              <w:pStyle w:val="39"/>
              <w:rPr>
                <w:rFonts w:ascii="宋体" w:hAnsi="宋体"/>
                <w:sz w:val="18"/>
                <w:szCs w:val="18"/>
              </w:rPr>
            </w:pPr>
            <w:r>
              <w:rPr>
                <w:rFonts w:ascii="宋体" w:hAnsi="宋体"/>
                <w:sz w:val="18"/>
                <w:szCs w:val="18"/>
              </w:rPr>
              <w:t xml:space="preserve">1.4426 </w:t>
            </w:r>
          </w:p>
        </w:tc>
        <w:tc>
          <w:tcPr>
            <w:tcW w:w="750" w:type="dxa"/>
            <w:noWrap/>
          </w:tcPr>
          <w:p w14:paraId="3E6E5216">
            <w:pPr>
              <w:pStyle w:val="39"/>
              <w:rPr>
                <w:rFonts w:ascii="宋体" w:hAnsi="宋体"/>
                <w:sz w:val="18"/>
                <w:szCs w:val="18"/>
              </w:rPr>
            </w:pPr>
            <w:r>
              <w:rPr>
                <w:rFonts w:ascii="宋体" w:hAnsi="宋体"/>
                <w:sz w:val="18"/>
                <w:szCs w:val="18"/>
              </w:rPr>
              <w:t xml:space="preserve">1.3597 </w:t>
            </w:r>
          </w:p>
        </w:tc>
        <w:tc>
          <w:tcPr>
            <w:tcW w:w="750" w:type="dxa"/>
            <w:noWrap/>
          </w:tcPr>
          <w:p w14:paraId="294FF753">
            <w:pPr>
              <w:pStyle w:val="39"/>
              <w:rPr>
                <w:rFonts w:ascii="宋体" w:hAnsi="宋体"/>
                <w:sz w:val="18"/>
                <w:szCs w:val="18"/>
              </w:rPr>
            </w:pPr>
            <w:r>
              <w:rPr>
                <w:rFonts w:ascii="宋体" w:hAnsi="宋体"/>
                <w:sz w:val="18"/>
                <w:szCs w:val="18"/>
              </w:rPr>
              <w:t xml:space="preserve">1.2858 </w:t>
            </w:r>
          </w:p>
        </w:tc>
        <w:tc>
          <w:tcPr>
            <w:tcW w:w="750" w:type="dxa"/>
            <w:noWrap/>
          </w:tcPr>
          <w:p w14:paraId="7BD0031D">
            <w:pPr>
              <w:pStyle w:val="39"/>
              <w:rPr>
                <w:rFonts w:ascii="宋体" w:hAnsi="宋体"/>
                <w:sz w:val="18"/>
                <w:szCs w:val="18"/>
              </w:rPr>
            </w:pPr>
            <w:r>
              <w:rPr>
                <w:rFonts w:ascii="宋体" w:hAnsi="宋体"/>
                <w:sz w:val="18"/>
                <w:szCs w:val="18"/>
              </w:rPr>
              <w:t xml:space="preserve">1.2196 </w:t>
            </w:r>
          </w:p>
        </w:tc>
        <w:tc>
          <w:tcPr>
            <w:tcW w:w="750" w:type="dxa"/>
            <w:noWrap/>
          </w:tcPr>
          <w:p w14:paraId="7614792D">
            <w:pPr>
              <w:pStyle w:val="39"/>
              <w:rPr>
                <w:rFonts w:ascii="宋体" w:hAnsi="宋体"/>
                <w:sz w:val="18"/>
                <w:szCs w:val="18"/>
              </w:rPr>
            </w:pPr>
            <w:r>
              <w:rPr>
                <w:rFonts w:ascii="宋体" w:hAnsi="宋体"/>
                <w:sz w:val="18"/>
                <w:szCs w:val="18"/>
              </w:rPr>
              <w:t xml:space="preserve">1.1599 </w:t>
            </w:r>
          </w:p>
        </w:tc>
        <w:tc>
          <w:tcPr>
            <w:tcW w:w="750" w:type="dxa"/>
            <w:noWrap/>
          </w:tcPr>
          <w:p w14:paraId="0A79A71E">
            <w:pPr>
              <w:pStyle w:val="39"/>
              <w:rPr>
                <w:rFonts w:ascii="宋体" w:hAnsi="宋体"/>
                <w:sz w:val="18"/>
                <w:szCs w:val="18"/>
              </w:rPr>
            </w:pPr>
            <w:r>
              <w:rPr>
                <w:rFonts w:ascii="宋体" w:hAnsi="宋体"/>
                <w:sz w:val="18"/>
                <w:szCs w:val="18"/>
              </w:rPr>
              <w:t xml:space="preserve">1.1059 </w:t>
            </w:r>
          </w:p>
        </w:tc>
        <w:tc>
          <w:tcPr>
            <w:tcW w:w="750" w:type="dxa"/>
            <w:noWrap/>
          </w:tcPr>
          <w:p w14:paraId="780CCF6F">
            <w:pPr>
              <w:pStyle w:val="39"/>
              <w:rPr>
                <w:rFonts w:ascii="宋体" w:hAnsi="宋体"/>
                <w:sz w:val="18"/>
                <w:szCs w:val="18"/>
              </w:rPr>
            </w:pPr>
            <w:r>
              <w:rPr>
                <w:rFonts w:ascii="宋体" w:hAnsi="宋体"/>
                <w:sz w:val="18"/>
                <w:szCs w:val="18"/>
              </w:rPr>
              <w:t xml:space="preserve">1.0569 </w:t>
            </w:r>
          </w:p>
        </w:tc>
      </w:tr>
      <w:tr w14:paraId="6ED39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1" w:type="dxa"/>
            <w:noWrap/>
          </w:tcPr>
          <w:p w14:paraId="02D54D97">
            <w:pPr>
              <w:pStyle w:val="39"/>
              <w:rPr>
                <w:rFonts w:ascii="宋体" w:hAnsi="宋体"/>
                <w:sz w:val="18"/>
                <w:szCs w:val="18"/>
              </w:rPr>
            </w:pPr>
            <w:r>
              <w:rPr>
                <w:rFonts w:ascii="宋体" w:hAnsi="宋体"/>
                <w:sz w:val="18"/>
                <w:szCs w:val="18"/>
              </w:rPr>
              <w:t xml:space="preserve">0.45 </w:t>
            </w:r>
          </w:p>
        </w:tc>
        <w:tc>
          <w:tcPr>
            <w:tcW w:w="751" w:type="dxa"/>
            <w:noWrap/>
          </w:tcPr>
          <w:p w14:paraId="4C0E48C3">
            <w:pPr>
              <w:pStyle w:val="39"/>
              <w:rPr>
                <w:rFonts w:ascii="宋体" w:hAnsi="宋体"/>
                <w:sz w:val="18"/>
                <w:szCs w:val="18"/>
              </w:rPr>
            </w:pPr>
            <w:r>
              <w:rPr>
                <w:rFonts w:ascii="宋体" w:hAnsi="宋体"/>
                <w:sz w:val="18"/>
                <w:szCs w:val="18"/>
              </w:rPr>
              <w:t xml:space="preserve">1.9754 </w:t>
            </w:r>
          </w:p>
        </w:tc>
        <w:tc>
          <w:tcPr>
            <w:tcW w:w="751" w:type="dxa"/>
            <w:noWrap/>
          </w:tcPr>
          <w:p w14:paraId="5B0A2F71">
            <w:pPr>
              <w:pStyle w:val="39"/>
              <w:rPr>
                <w:rFonts w:ascii="宋体" w:hAnsi="宋体"/>
                <w:sz w:val="18"/>
                <w:szCs w:val="18"/>
              </w:rPr>
            </w:pPr>
            <w:r>
              <w:rPr>
                <w:rFonts w:ascii="宋体" w:hAnsi="宋体"/>
                <w:sz w:val="18"/>
                <w:szCs w:val="18"/>
              </w:rPr>
              <w:t xml:space="preserve">1.8312 </w:t>
            </w:r>
          </w:p>
        </w:tc>
        <w:tc>
          <w:tcPr>
            <w:tcW w:w="751" w:type="dxa"/>
            <w:noWrap/>
          </w:tcPr>
          <w:p w14:paraId="30CAE149">
            <w:pPr>
              <w:pStyle w:val="39"/>
              <w:rPr>
                <w:rFonts w:ascii="宋体" w:hAnsi="宋体"/>
                <w:sz w:val="18"/>
                <w:szCs w:val="18"/>
              </w:rPr>
            </w:pPr>
            <w:r>
              <w:rPr>
                <w:rFonts w:ascii="宋体" w:hAnsi="宋体"/>
                <w:sz w:val="18"/>
                <w:szCs w:val="18"/>
              </w:rPr>
              <w:t xml:space="preserve">1.7063 </w:t>
            </w:r>
          </w:p>
        </w:tc>
        <w:tc>
          <w:tcPr>
            <w:tcW w:w="750" w:type="dxa"/>
            <w:noWrap/>
          </w:tcPr>
          <w:p w14:paraId="72318230">
            <w:pPr>
              <w:pStyle w:val="39"/>
              <w:rPr>
                <w:rFonts w:ascii="宋体" w:hAnsi="宋体"/>
                <w:sz w:val="18"/>
                <w:szCs w:val="18"/>
              </w:rPr>
            </w:pPr>
            <w:r>
              <w:rPr>
                <w:rFonts w:ascii="宋体" w:hAnsi="宋体"/>
                <w:sz w:val="18"/>
                <w:szCs w:val="18"/>
              </w:rPr>
              <w:t xml:space="preserve">1.5973 </w:t>
            </w:r>
          </w:p>
        </w:tc>
        <w:tc>
          <w:tcPr>
            <w:tcW w:w="750" w:type="dxa"/>
            <w:noWrap/>
          </w:tcPr>
          <w:p w14:paraId="705C4F04">
            <w:pPr>
              <w:pStyle w:val="39"/>
              <w:rPr>
                <w:rFonts w:ascii="宋体" w:hAnsi="宋体"/>
                <w:sz w:val="18"/>
                <w:szCs w:val="18"/>
              </w:rPr>
            </w:pPr>
            <w:r>
              <w:rPr>
                <w:rFonts w:ascii="宋体" w:hAnsi="宋体"/>
                <w:sz w:val="18"/>
                <w:szCs w:val="18"/>
              </w:rPr>
              <w:t xml:space="preserve">1.5016 </w:t>
            </w:r>
          </w:p>
        </w:tc>
        <w:tc>
          <w:tcPr>
            <w:tcW w:w="750" w:type="dxa"/>
            <w:noWrap/>
          </w:tcPr>
          <w:p w14:paraId="205035BB">
            <w:pPr>
              <w:pStyle w:val="39"/>
              <w:rPr>
                <w:rFonts w:ascii="宋体" w:hAnsi="宋体"/>
                <w:sz w:val="18"/>
                <w:szCs w:val="18"/>
              </w:rPr>
            </w:pPr>
            <w:r>
              <w:rPr>
                <w:rFonts w:ascii="宋体" w:hAnsi="宋体"/>
                <w:sz w:val="18"/>
                <w:szCs w:val="18"/>
              </w:rPr>
              <w:t xml:space="preserve">1.4170 </w:t>
            </w:r>
          </w:p>
        </w:tc>
        <w:tc>
          <w:tcPr>
            <w:tcW w:w="750" w:type="dxa"/>
            <w:noWrap/>
          </w:tcPr>
          <w:p w14:paraId="402A025A">
            <w:pPr>
              <w:pStyle w:val="39"/>
              <w:rPr>
                <w:rFonts w:ascii="宋体" w:hAnsi="宋体"/>
                <w:sz w:val="18"/>
                <w:szCs w:val="18"/>
              </w:rPr>
            </w:pPr>
            <w:r>
              <w:rPr>
                <w:rFonts w:ascii="宋体" w:hAnsi="宋体"/>
                <w:sz w:val="18"/>
                <w:szCs w:val="18"/>
              </w:rPr>
              <w:t xml:space="preserve">1.3419 </w:t>
            </w:r>
          </w:p>
        </w:tc>
        <w:tc>
          <w:tcPr>
            <w:tcW w:w="750" w:type="dxa"/>
            <w:noWrap/>
          </w:tcPr>
          <w:p w14:paraId="26A9121C">
            <w:pPr>
              <w:pStyle w:val="39"/>
              <w:rPr>
                <w:rFonts w:ascii="宋体" w:hAnsi="宋体"/>
                <w:sz w:val="18"/>
                <w:szCs w:val="18"/>
              </w:rPr>
            </w:pPr>
            <w:r>
              <w:rPr>
                <w:rFonts w:ascii="宋体" w:hAnsi="宋体"/>
                <w:sz w:val="18"/>
                <w:szCs w:val="18"/>
              </w:rPr>
              <w:t xml:space="preserve">1.2747 </w:t>
            </w:r>
          </w:p>
        </w:tc>
        <w:tc>
          <w:tcPr>
            <w:tcW w:w="750" w:type="dxa"/>
            <w:noWrap/>
          </w:tcPr>
          <w:p w14:paraId="3F2886BA">
            <w:pPr>
              <w:pStyle w:val="39"/>
              <w:rPr>
                <w:rFonts w:ascii="宋体" w:hAnsi="宋体"/>
                <w:sz w:val="18"/>
                <w:szCs w:val="18"/>
              </w:rPr>
            </w:pPr>
            <w:r>
              <w:rPr>
                <w:rFonts w:ascii="宋体" w:hAnsi="宋体"/>
                <w:sz w:val="18"/>
                <w:szCs w:val="18"/>
              </w:rPr>
              <w:t xml:space="preserve">1.2144 </w:t>
            </w:r>
          </w:p>
        </w:tc>
        <w:tc>
          <w:tcPr>
            <w:tcW w:w="750" w:type="dxa"/>
            <w:noWrap/>
          </w:tcPr>
          <w:p w14:paraId="10C55D26">
            <w:pPr>
              <w:pStyle w:val="39"/>
              <w:rPr>
                <w:rFonts w:ascii="宋体" w:hAnsi="宋体"/>
                <w:sz w:val="18"/>
                <w:szCs w:val="18"/>
              </w:rPr>
            </w:pPr>
            <w:r>
              <w:rPr>
                <w:rFonts w:ascii="宋体" w:hAnsi="宋体"/>
                <w:sz w:val="18"/>
                <w:szCs w:val="18"/>
              </w:rPr>
              <w:t xml:space="preserve">1.1600 </w:t>
            </w:r>
          </w:p>
        </w:tc>
        <w:tc>
          <w:tcPr>
            <w:tcW w:w="750" w:type="dxa"/>
            <w:noWrap/>
          </w:tcPr>
          <w:p w14:paraId="7E932A88">
            <w:pPr>
              <w:pStyle w:val="39"/>
              <w:rPr>
                <w:rFonts w:ascii="宋体" w:hAnsi="宋体"/>
                <w:sz w:val="18"/>
                <w:szCs w:val="18"/>
              </w:rPr>
            </w:pPr>
            <w:r>
              <w:rPr>
                <w:rFonts w:ascii="宋体" w:hAnsi="宋体"/>
                <w:sz w:val="18"/>
                <w:szCs w:val="18"/>
              </w:rPr>
              <w:t xml:space="preserve">1.1106 </w:t>
            </w:r>
          </w:p>
        </w:tc>
      </w:tr>
      <w:tr w14:paraId="132F7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1" w:type="dxa"/>
            <w:noWrap/>
          </w:tcPr>
          <w:p w14:paraId="46865CDF">
            <w:pPr>
              <w:pStyle w:val="39"/>
              <w:rPr>
                <w:rFonts w:ascii="宋体" w:hAnsi="宋体"/>
                <w:sz w:val="18"/>
                <w:szCs w:val="18"/>
              </w:rPr>
            </w:pPr>
            <w:r>
              <w:rPr>
                <w:rFonts w:ascii="宋体" w:hAnsi="宋体"/>
                <w:sz w:val="18"/>
                <w:szCs w:val="18"/>
              </w:rPr>
              <w:t xml:space="preserve">0.50 </w:t>
            </w:r>
          </w:p>
        </w:tc>
        <w:tc>
          <w:tcPr>
            <w:tcW w:w="751" w:type="dxa"/>
            <w:noWrap/>
          </w:tcPr>
          <w:p w14:paraId="2BA5B8F2">
            <w:pPr>
              <w:pStyle w:val="39"/>
              <w:rPr>
                <w:rFonts w:ascii="宋体" w:hAnsi="宋体"/>
                <w:sz w:val="18"/>
                <w:szCs w:val="18"/>
              </w:rPr>
            </w:pPr>
            <w:r>
              <w:rPr>
                <w:rFonts w:ascii="宋体" w:hAnsi="宋体"/>
                <w:sz w:val="18"/>
                <w:szCs w:val="18"/>
              </w:rPr>
              <w:t xml:space="preserve">2.0000 </w:t>
            </w:r>
          </w:p>
        </w:tc>
        <w:tc>
          <w:tcPr>
            <w:tcW w:w="751" w:type="dxa"/>
            <w:noWrap/>
          </w:tcPr>
          <w:p w14:paraId="0FB4DEE7">
            <w:pPr>
              <w:pStyle w:val="39"/>
              <w:rPr>
                <w:rFonts w:ascii="宋体" w:hAnsi="宋体"/>
                <w:sz w:val="18"/>
                <w:szCs w:val="18"/>
              </w:rPr>
            </w:pPr>
            <w:r>
              <w:rPr>
                <w:rFonts w:ascii="宋体" w:hAnsi="宋体"/>
                <w:sz w:val="18"/>
                <w:szCs w:val="18"/>
              </w:rPr>
              <w:t xml:space="preserve">1.8545 </w:t>
            </w:r>
          </w:p>
        </w:tc>
        <w:tc>
          <w:tcPr>
            <w:tcW w:w="751" w:type="dxa"/>
            <w:noWrap/>
          </w:tcPr>
          <w:p w14:paraId="28D8063B">
            <w:pPr>
              <w:pStyle w:val="39"/>
              <w:rPr>
                <w:rFonts w:ascii="宋体" w:hAnsi="宋体"/>
                <w:sz w:val="18"/>
                <w:szCs w:val="18"/>
              </w:rPr>
            </w:pPr>
            <w:r>
              <w:rPr>
                <w:rFonts w:ascii="宋体" w:hAnsi="宋体"/>
                <w:sz w:val="18"/>
                <w:szCs w:val="18"/>
              </w:rPr>
              <w:t xml:space="preserve">1.7292 </w:t>
            </w:r>
          </w:p>
        </w:tc>
        <w:tc>
          <w:tcPr>
            <w:tcW w:w="750" w:type="dxa"/>
            <w:noWrap/>
          </w:tcPr>
          <w:p w14:paraId="0273D5C3">
            <w:pPr>
              <w:pStyle w:val="39"/>
              <w:rPr>
                <w:rFonts w:ascii="宋体" w:hAnsi="宋体"/>
                <w:sz w:val="18"/>
                <w:szCs w:val="18"/>
              </w:rPr>
            </w:pPr>
            <w:r>
              <w:rPr>
                <w:rFonts w:ascii="宋体" w:hAnsi="宋体"/>
                <w:sz w:val="18"/>
                <w:szCs w:val="18"/>
              </w:rPr>
              <w:t xml:space="preserve">1.6206 </w:t>
            </w:r>
          </w:p>
        </w:tc>
        <w:tc>
          <w:tcPr>
            <w:tcW w:w="750" w:type="dxa"/>
            <w:noWrap/>
          </w:tcPr>
          <w:p w14:paraId="30DC4287">
            <w:pPr>
              <w:pStyle w:val="39"/>
              <w:rPr>
                <w:rFonts w:ascii="宋体" w:hAnsi="宋体"/>
                <w:sz w:val="18"/>
                <w:szCs w:val="18"/>
              </w:rPr>
            </w:pPr>
            <w:r>
              <w:rPr>
                <w:rFonts w:ascii="宋体" w:hAnsi="宋体"/>
                <w:sz w:val="18"/>
                <w:szCs w:val="18"/>
              </w:rPr>
              <w:t xml:space="preserve">1.5259 </w:t>
            </w:r>
          </w:p>
        </w:tc>
        <w:tc>
          <w:tcPr>
            <w:tcW w:w="750" w:type="dxa"/>
            <w:noWrap/>
          </w:tcPr>
          <w:p w14:paraId="0CF100BA">
            <w:pPr>
              <w:pStyle w:val="39"/>
              <w:rPr>
                <w:rFonts w:ascii="宋体" w:hAnsi="宋体"/>
                <w:sz w:val="18"/>
                <w:szCs w:val="18"/>
              </w:rPr>
            </w:pPr>
            <w:r>
              <w:rPr>
                <w:rFonts w:ascii="宋体" w:hAnsi="宋体"/>
                <w:sz w:val="18"/>
                <w:szCs w:val="18"/>
              </w:rPr>
              <w:t xml:space="preserve">1.4427 </w:t>
            </w:r>
          </w:p>
        </w:tc>
        <w:tc>
          <w:tcPr>
            <w:tcW w:w="750" w:type="dxa"/>
            <w:noWrap/>
          </w:tcPr>
          <w:p w14:paraId="14B59539">
            <w:pPr>
              <w:pStyle w:val="39"/>
              <w:rPr>
                <w:rFonts w:ascii="宋体" w:hAnsi="宋体"/>
                <w:sz w:val="18"/>
                <w:szCs w:val="18"/>
              </w:rPr>
            </w:pPr>
            <w:r>
              <w:rPr>
                <w:rFonts w:ascii="宋体" w:hAnsi="宋体"/>
                <w:sz w:val="18"/>
                <w:szCs w:val="18"/>
              </w:rPr>
              <w:t xml:space="preserve">1.3692 </w:t>
            </w:r>
          </w:p>
        </w:tc>
        <w:tc>
          <w:tcPr>
            <w:tcW w:w="750" w:type="dxa"/>
            <w:noWrap/>
          </w:tcPr>
          <w:p w14:paraId="152A6149">
            <w:pPr>
              <w:pStyle w:val="39"/>
              <w:rPr>
                <w:rFonts w:ascii="宋体" w:hAnsi="宋体"/>
                <w:sz w:val="18"/>
                <w:szCs w:val="18"/>
              </w:rPr>
            </w:pPr>
            <w:r>
              <w:rPr>
                <w:rFonts w:ascii="宋体" w:hAnsi="宋体"/>
                <w:sz w:val="18"/>
                <w:szCs w:val="18"/>
              </w:rPr>
              <w:t xml:space="preserve">1.3037 </w:t>
            </w:r>
          </w:p>
        </w:tc>
        <w:tc>
          <w:tcPr>
            <w:tcW w:w="750" w:type="dxa"/>
            <w:noWrap/>
          </w:tcPr>
          <w:p w14:paraId="15E2DC21">
            <w:pPr>
              <w:pStyle w:val="39"/>
              <w:rPr>
                <w:rFonts w:ascii="宋体" w:hAnsi="宋体"/>
                <w:sz w:val="18"/>
                <w:szCs w:val="18"/>
              </w:rPr>
            </w:pPr>
            <w:r>
              <w:rPr>
                <w:rFonts w:ascii="宋体" w:hAnsi="宋体"/>
                <w:sz w:val="18"/>
                <w:szCs w:val="18"/>
              </w:rPr>
              <w:t xml:space="preserve">1.2452 </w:t>
            </w:r>
          </w:p>
        </w:tc>
        <w:tc>
          <w:tcPr>
            <w:tcW w:w="750" w:type="dxa"/>
            <w:noWrap/>
          </w:tcPr>
          <w:p w14:paraId="3B2390B7">
            <w:pPr>
              <w:pStyle w:val="39"/>
              <w:rPr>
                <w:rFonts w:ascii="宋体" w:hAnsi="宋体"/>
                <w:sz w:val="18"/>
                <w:szCs w:val="18"/>
              </w:rPr>
            </w:pPr>
            <w:r>
              <w:rPr>
                <w:rFonts w:ascii="宋体" w:hAnsi="宋体"/>
                <w:sz w:val="18"/>
                <w:szCs w:val="18"/>
              </w:rPr>
              <w:t xml:space="preserve">1.1925 </w:t>
            </w:r>
          </w:p>
        </w:tc>
        <w:tc>
          <w:tcPr>
            <w:tcW w:w="750" w:type="dxa"/>
            <w:noWrap/>
          </w:tcPr>
          <w:p w14:paraId="5E739532">
            <w:pPr>
              <w:pStyle w:val="39"/>
              <w:rPr>
                <w:rFonts w:ascii="宋体" w:hAnsi="宋体"/>
                <w:sz w:val="18"/>
                <w:szCs w:val="18"/>
              </w:rPr>
            </w:pPr>
            <w:r>
              <w:rPr>
                <w:rFonts w:ascii="宋体" w:hAnsi="宋体"/>
                <w:sz w:val="18"/>
                <w:szCs w:val="18"/>
              </w:rPr>
              <w:t xml:space="preserve">1.1447 </w:t>
            </w:r>
          </w:p>
        </w:tc>
      </w:tr>
      <w:tr w14:paraId="65A59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1" w:type="dxa"/>
            <w:noWrap/>
          </w:tcPr>
          <w:p w14:paraId="1F9DE8E6">
            <w:pPr>
              <w:pStyle w:val="39"/>
              <w:rPr>
                <w:rFonts w:ascii="宋体" w:hAnsi="宋体"/>
                <w:sz w:val="18"/>
                <w:szCs w:val="18"/>
              </w:rPr>
            </w:pPr>
            <w:r>
              <w:rPr>
                <w:rFonts w:ascii="宋体" w:hAnsi="宋体"/>
                <w:sz w:val="18"/>
                <w:szCs w:val="18"/>
              </w:rPr>
              <w:t xml:space="preserve">0.55 </w:t>
            </w:r>
          </w:p>
        </w:tc>
        <w:tc>
          <w:tcPr>
            <w:tcW w:w="751" w:type="dxa"/>
            <w:noWrap/>
          </w:tcPr>
          <w:p w14:paraId="07FC882A">
            <w:pPr>
              <w:pStyle w:val="39"/>
              <w:rPr>
                <w:rFonts w:ascii="宋体" w:hAnsi="宋体"/>
                <w:sz w:val="18"/>
                <w:szCs w:val="18"/>
              </w:rPr>
            </w:pPr>
            <w:r>
              <w:rPr>
                <w:rFonts w:ascii="宋体" w:hAnsi="宋体"/>
                <w:sz w:val="18"/>
                <w:szCs w:val="18"/>
              </w:rPr>
              <w:t xml:space="preserve">2.0000 </w:t>
            </w:r>
          </w:p>
        </w:tc>
        <w:tc>
          <w:tcPr>
            <w:tcW w:w="751" w:type="dxa"/>
            <w:noWrap/>
          </w:tcPr>
          <w:p w14:paraId="7E00671B">
            <w:pPr>
              <w:pStyle w:val="39"/>
              <w:rPr>
                <w:rFonts w:ascii="宋体" w:hAnsi="宋体"/>
                <w:sz w:val="18"/>
                <w:szCs w:val="18"/>
              </w:rPr>
            </w:pPr>
            <w:r>
              <w:rPr>
                <w:rFonts w:ascii="宋体" w:hAnsi="宋体"/>
                <w:sz w:val="18"/>
                <w:szCs w:val="18"/>
              </w:rPr>
              <w:t xml:space="preserve">1.8545 </w:t>
            </w:r>
          </w:p>
        </w:tc>
        <w:tc>
          <w:tcPr>
            <w:tcW w:w="751" w:type="dxa"/>
            <w:noWrap/>
          </w:tcPr>
          <w:p w14:paraId="70806B52">
            <w:pPr>
              <w:pStyle w:val="39"/>
              <w:rPr>
                <w:rFonts w:ascii="宋体" w:hAnsi="宋体"/>
                <w:sz w:val="18"/>
                <w:szCs w:val="18"/>
              </w:rPr>
            </w:pPr>
            <w:r>
              <w:rPr>
                <w:rFonts w:ascii="宋体" w:hAnsi="宋体"/>
                <w:sz w:val="18"/>
                <w:szCs w:val="18"/>
              </w:rPr>
              <w:t xml:space="preserve">1.7292 </w:t>
            </w:r>
          </w:p>
        </w:tc>
        <w:tc>
          <w:tcPr>
            <w:tcW w:w="750" w:type="dxa"/>
            <w:noWrap/>
          </w:tcPr>
          <w:p w14:paraId="09A21404">
            <w:pPr>
              <w:pStyle w:val="39"/>
              <w:rPr>
                <w:rFonts w:ascii="宋体" w:hAnsi="宋体"/>
                <w:sz w:val="18"/>
                <w:szCs w:val="18"/>
              </w:rPr>
            </w:pPr>
            <w:r>
              <w:rPr>
                <w:rFonts w:ascii="宋体" w:hAnsi="宋体"/>
                <w:sz w:val="18"/>
                <w:szCs w:val="18"/>
              </w:rPr>
              <w:t xml:space="preserve">1.6209 </w:t>
            </w:r>
          </w:p>
        </w:tc>
        <w:tc>
          <w:tcPr>
            <w:tcW w:w="750" w:type="dxa"/>
            <w:noWrap/>
          </w:tcPr>
          <w:p w14:paraId="29E68E3C">
            <w:pPr>
              <w:pStyle w:val="39"/>
              <w:rPr>
                <w:rFonts w:ascii="宋体" w:hAnsi="宋体"/>
                <w:sz w:val="18"/>
                <w:szCs w:val="18"/>
              </w:rPr>
            </w:pPr>
            <w:r>
              <w:rPr>
                <w:rFonts w:ascii="宋体" w:hAnsi="宋体"/>
                <w:sz w:val="18"/>
                <w:szCs w:val="18"/>
              </w:rPr>
              <w:t xml:space="preserve">1.5266 </w:t>
            </w:r>
          </w:p>
        </w:tc>
        <w:tc>
          <w:tcPr>
            <w:tcW w:w="750" w:type="dxa"/>
            <w:noWrap/>
          </w:tcPr>
          <w:p w14:paraId="0CEB50CB">
            <w:pPr>
              <w:pStyle w:val="39"/>
              <w:rPr>
                <w:rFonts w:ascii="宋体" w:hAnsi="宋体"/>
                <w:sz w:val="18"/>
                <w:szCs w:val="18"/>
              </w:rPr>
            </w:pPr>
            <w:r>
              <w:rPr>
                <w:rFonts w:ascii="宋体" w:hAnsi="宋体"/>
                <w:sz w:val="18"/>
                <w:szCs w:val="18"/>
              </w:rPr>
              <w:t xml:space="preserve">1.4443 </w:t>
            </w:r>
          </w:p>
        </w:tc>
        <w:tc>
          <w:tcPr>
            <w:tcW w:w="750" w:type="dxa"/>
            <w:noWrap/>
          </w:tcPr>
          <w:p w14:paraId="3A8729AE">
            <w:pPr>
              <w:pStyle w:val="39"/>
              <w:rPr>
                <w:rFonts w:ascii="宋体" w:hAnsi="宋体"/>
                <w:sz w:val="18"/>
                <w:szCs w:val="18"/>
              </w:rPr>
            </w:pPr>
            <w:r>
              <w:rPr>
                <w:rFonts w:ascii="宋体" w:hAnsi="宋体"/>
                <w:sz w:val="18"/>
                <w:szCs w:val="18"/>
              </w:rPr>
              <w:t xml:space="preserve">1.3723 </w:t>
            </w:r>
          </w:p>
        </w:tc>
        <w:tc>
          <w:tcPr>
            <w:tcW w:w="750" w:type="dxa"/>
            <w:noWrap/>
          </w:tcPr>
          <w:p w14:paraId="6E56B8F2">
            <w:pPr>
              <w:pStyle w:val="39"/>
              <w:rPr>
                <w:rFonts w:ascii="宋体" w:hAnsi="宋体"/>
                <w:sz w:val="18"/>
                <w:szCs w:val="18"/>
              </w:rPr>
            </w:pPr>
            <w:r>
              <w:rPr>
                <w:rFonts w:ascii="宋体" w:hAnsi="宋体"/>
                <w:sz w:val="18"/>
                <w:szCs w:val="18"/>
              </w:rPr>
              <w:t xml:space="preserve">1.3092 </w:t>
            </w:r>
          </w:p>
        </w:tc>
        <w:tc>
          <w:tcPr>
            <w:tcW w:w="750" w:type="dxa"/>
            <w:noWrap/>
          </w:tcPr>
          <w:p w14:paraId="100219B9">
            <w:pPr>
              <w:pStyle w:val="39"/>
              <w:rPr>
                <w:rFonts w:ascii="宋体" w:hAnsi="宋体"/>
                <w:sz w:val="18"/>
                <w:szCs w:val="18"/>
              </w:rPr>
            </w:pPr>
            <w:r>
              <w:rPr>
                <w:rFonts w:ascii="宋体" w:hAnsi="宋体"/>
                <w:sz w:val="18"/>
                <w:szCs w:val="18"/>
              </w:rPr>
              <w:t xml:space="preserve">1.2538 </w:t>
            </w:r>
          </w:p>
        </w:tc>
        <w:tc>
          <w:tcPr>
            <w:tcW w:w="750" w:type="dxa"/>
            <w:noWrap/>
          </w:tcPr>
          <w:p w14:paraId="3BA180C9">
            <w:pPr>
              <w:pStyle w:val="39"/>
              <w:rPr>
                <w:rFonts w:ascii="宋体" w:hAnsi="宋体"/>
                <w:sz w:val="18"/>
                <w:szCs w:val="18"/>
              </w:rPr>
            </w:pPr>
            <w:r>
              <w:rPr>
                <w:rFonts w:ascii="宋体" w:hAnsi="宋体"/>
                <w:sz w:val="18"/>
                <w:szCs w:val="18"/>
              </w:rPr>
              <w:t xml:space="preserve">1.2050 </w:t>
            </w:r>
          </w:p>
        </w:tc>
        <w:tc>
          <w:tcPr>
            <w:tcW w:w="750" w:type="dxa"/>
            <w:noWrap/>
          </w:tcPr>
          <w:p w14:paraId="3DD669CC">
            <w:pPr>
              <w:pStyle w:val="39"/>
              <w:rPr>
                <w:rFonts w:ascii="宋体" w:hAnsi="宋体"/>
                <w:sz w:val="18"/>
                <w:szCs w:val="18"/>
              </w:rPr>
            </w:pPr>
            <w:r>
              <w:rPr>
                <w:rFonts w:ascii="宋体" w:hAnsi="宋体"/>
                <w:sz w:val="18"/>
                <w:szCs w:val="18"/>
              </w:rPr>
              <w:t xml:space="preserve">1.1609 </w:t>
            </w:r>
          </w:p>
        </w:tc>
      </w:tr>
      <w:tr w14:paraId="19E22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1" w:type="dxa"/>
            <w:noWrap/>
          </w:tcPr>
          <w:p w14:paraId="1D4EB996">
            <w:pPr>
              <w:pStyle w:val="39"/>
              <w:rPr>
                <w:rFonts w:ascii="宋体" w:hAnsi="宋体"/>
                <w:sz w:val="18"/>
                <w:szCs w:val="18"/>
              </w:rPr>
            </w:pPr>
            <w:r>
              <w:rPr>
                <w:rFonts w:ascii="宋体" w:hAnsi="宋体"/>
                <w:sz w:val="18"/>
                <w:szCs w:val="18"/>
              </w:rPr>
              <w:t xml:space="preserve">0.60 </w:t>
            </w:r>
          </w:p>
        </w:tc>
        <w:tc>
          <w:tcPr>
            <w:tcW w:w="751" w:type="dxa"/>
            <w:noWrap/>
          </w:tcPr>
          <w:p w14:paraId="70327F23">
            <w:pPr>
              <w:pStyle w:val="39"/>
              <w:rPr>
                <w:rFonts w:ascii="宋体" w:hAnsi="宋体"/>
                <w:sz w:val="18"/>
                <w:szCs w:val="18"/>
              </w:rPr>
            </w:pPr>
            <w:r>
              <w:rPr>
                <w:rFonts w:ascii="宋体" w:hAnsi="宋体"/>
                <w:sz w:val="18"/>
                <w:szCs w:val="18"/>
              </w:rPr>
              <w:t xml:space="preserve">2.0000 </w:t>
            </w:r>
          </w:p>
        </w:tc>
        <w:tc>
          <w:tcPr>
            <w:tcW w:w="751" w:type="dxa"/>
            <w:noWrap/>
          </w:tcPr>
          <w:p w14:paraId="5C446523">
            <w:pPr>
              <w:pStyle w:val="39"/>
              <w:rPr>
                <w:rFonts w:ascii="宋体" w:hAnsi="宋体"/>
                <w:sz w:val="18"/>
                <w:szCs w:val="18"/>
              </w:rPr>
            </w:pPr>
            <w:r>
              <w:rPr>
                <w:rFonts w:ascii="宋体" w:hAnsi="宋体"/>
                <w:sz w:val="18"/>
                <w:szCs w:val="18"/>
              </w:rPr>
              <w:t xml:space="preserve">1.8545 </w:t>
            </w:r>
          </w:p>
        </w:tc>
        <w:tc>
          <w:tcPr>
            <w:tcW w:w="751" w:type="dxa"/>
            <w:noWrap/>
          </w:tcPr>
          <w:p w14:paraId="46E8E0A2">
            <w:pPr>
              <w:pStyle w:val="39"/>
              <w:rPr>
                <w:rFonts w:ascii="宋体" w:hAnsi="宋体"/>
                <w:sz w:val="18"/>
                <w:szCs w:val="18"/>
              </w:rPr>
            </w:pPr>
            <w:r>
              <w:rPr>
                <w:rFonts w:ascii="宋体" w:hAnsi="宋体"/>
                <w:sz w:val="18"/>
                <w:szCs w:val="18"/>
              </w:rPr>
              <w:t xml:space="preserve">1.7292 </w:t>
            </w:r>
          </w:p>
        </w:tc>
        <w:tc>
          <w:tcPr>
            <w:tcW w:w="750" w:type="dxa"/>
            <w:noWrap/>
          </w:tcPr>
          <w:p w14:paraId="6EFE766C">
            <w:pPr>
              <w:pStyle w:val="39"/>
              <w:rPr>
                <w:rFonts w:ascii="宋体" w:hAnsi="宋体"/>
                <w:sz w:val="18"/>
                <w:szCs w:val="18"/>
              </w:rPr>
            </w:pPr>
            <w:r>
              <w:rPr>
                <w:rFonts w:ascii="宋体" w:hAnsi="宋体"/>
                <w:sz w:val="18"/>
                <w:szCs w:val="18"/>
              </w:rPr>
              <w:t xml:space="preserve">1.6209 </w:t>
            </w:r>
          </w:p>
        </w:tc>
        <w:tc>
          <w:tcPr>
            <w:tcW w:w="750" w:type="dxa"/>
            <w:noWrap/>
          </w:tcPr>
          <w:p w14:paraId="331209B1">
            <w:pPr>
              <w:pStyle w:val="39"/>
              <w:rPr>
                <w:rFonts w:ascii="宋体" w:hAnsi="宋体"/>
                <w:sz w:val="18"/>
                <w:szCs w:val="18"/>
              </w:rPr>
            </w:pPr>
            <w:r>
              <w:rPr>
                <w:rFonts w:ascii="宋体" w:hAnsi="宋体"/>
                <w:sz w:val="18"/>
                <w:szCs w:val="18"/>
              </w:rPr>
              <w:t xml:space="preserve">1.5266 </w:t>
            </w:r>
          </w:p>
        </w:tc>
        <w:tc>
          <w:tcPr>
            <w:tcW w:w="750" w:type="dxa"/>
            <w:noWrap/>
          </w:tcPr>
          <w:p w14:paraId="560A99E6">
            <w:pPr>
              <w:pStyle w:val="39"/>
              <w:rPr>
                <w:rFonts w:ascii="宋体" w:hAnsi="宋体"/>
                <w:sz w:val="18"/>
                <w:szCs w:val="18"/>
              </w:rPr>
            </w:pPr>
            <w:r>
              <w:rPr>
                <w:rFonts w:ascii="宋体" w:hAnsi="宋体"/>
                <w:sz w:val="18"/>
                <w:szCs w:val="18"/>
              </w:rPr>
              <w:t xml:space="preserve">1.4443 </w:t>
            </w:r>
          </w:p>
        </w:tc>
        <w:tc>
          <w:tcPr>
            <w:tcW w:w="750" w:type="dxa"/>
            <w:noWrap/>
          </w:tcPr>
          <w:p w14:paraId="6FBEFB25">
            <w:pPr>
              <w:pStyle w:val="39"/>
              <w:rPr>
                <w:rFonts w:ascii="宋体" w:hAnsi="宋体"/>
                <w:sz w:val="18"/>
                <w:szCs w:val="18"/>
              </w:rPr>
            </w:pPr>
            <w:r>
              <w:rPr>
                <w:rFonts w:ascii="宋体" w:hAnsi="宋体"/>
                <w:sz w:val="18"/>
                <w:szCs w:val="18"/>
              </w:rPr>
              <w:t xml:space="preserve">1.3723 </w:t>
            </w:r>
          </w:p>
        </w:tc>
        <w:tc>
          <w:tcPr>
            <w:tcW w:w="750" w:type="dxa"/>
            <w:noWrap/>
          </w:tcPr>
          <w:p w14:paraId="0CB5BE8B">
            <w:pPr>
              <w:pStyle w:val="39"/>
              <w:rPr>
                <w:rFonts w:ascii="宋体" w:hAnsi="宋体"/>
                <w:sz w:val="18"/>
                <w:szCs w:val="18"/>
              </w:rPr>
            </w:pPr>
            <w:r>
              <w:rPr>
                <w:rFonts w:ascii="宋体" w:hAnsi="宋体"/>
                <w:sz w:val="18"/>
                <w:szCs w:val="18"/>
              </w:rPr>
              <w:t xml:space="preserve">1.3092 </w:t>
            </w:r>
          </w:p>
        </w:tc>
        <w:tc>
          <w:tcPr>
            <w:tcW w:w="750" w:type="dxa"/>
            <w:noWrap/>
          </w:tcPr>
          <w:p w14:paraId="335B96F7">
            <w:pPr>
              <w:pStyle w:val="39"/>
              <w:rPr>
                <w:rFonts w:ascii="宋体" w:hAnsi="宋体"/>
                <w:sz w:val="18"/>
                <w:szCs w:val="18"/>
              </w:rPr>
            </w:pPr>
            <w:r>
              <w:rPr>
                <w:rFonts w:ascii="宋体" w:hAnsi="宋体"/>
                <w:sz w:val="18"/>
                <w:szCs w:val="18"/>
              </w:rPr>
              <w:t xml:space="preserve">1.2538 </w:t>
            </w:r>
          </w:p>
        </w:tc>
        <w:tc>
          <w:tcPr>
            <w:tcW w:w="750" w:type="dxa"/>
            <w:noWrap/>
          </w:tcPr>
          <w:p w14:paraId="5BBB4B9C">
            <w:pPr>
              <w:pStyle w:val="39"/>
              <w:rPr>
                <w:rFonts w:ascii="宋体" w:hAnsi="宋体"/>
                <w:sz w:val="18"/>
                <w:szCs w:val="18"/>
              </w:rPr>
            </w:pPr>
            <w:r>
              <w:rPr>
                <w:rFonts w:ascii="宋体" w:hAnsi="宋体"/>
                <w:sz w:val="18"/>
                <w:szCs w:val="18"/>
              </w:rPr>
              <w:t xml:space="preserve">1.2053 </w:t>
            </w:r>
          </w:p>
        </w:tc>
        <w:tc>
          <w:tcPr>
            <w:tcW w:w="750" w:type="dxa"/>
            <w:noWrap/>
          </w:tcPr>
          <w:p w14:paraId="3B507D42">
            <w:pPr>
              <w:pStyle w:val="39"/>
              <w:rPr>
                <w:rFonts w:ascii="宋体" w:hAnsi="宋体"/>
                <w:sz w:val="18"/>
                <w:szCs w:val="18"/>
              </w:rPr>
            </w:pPr>
            <w:r>
              <w:rPr>
                <w:rFonts w:ascii="宋体" w:hAnsi="宋体"/>
                <w:sz w:val="18"/>
                <w:szCs w:val="18"/>
              </w:rPr>
              <w:t xml:space="preserve">1.1630 </w:t>
            </w:r>
          </w:p>
        </w:tc>
      </w:tr>
      <w:tr w14:paraId="69616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1" w:type="dxa"/>
            <w:noWrap/>
          </w:tcPr>
          <w:p w14:paraId="13375A44">
            <w:pPr>
              <w:pStyle w:val="39"/>
              <w:rPr>
                <w:rFonts w:ascii="宋体" w:hAnsi="宋体"/>
                <w:sz w:val="18"/>
                <w:szCs w:val="18"/>
              </w:rPr>
            </w:pPr>
            <w:r>
              <w:rPr>
                <w:rFonts w:ascii="宋体" w:hAnsi="宋体"/>
                <w:sz w:val="18"/>
                <w:szCs w:val="18"/>
              </w:rPr>
              <w:t xml:space="preserve">0.65 </w:t>
            </w:r>
          </w:p>
        </w:tc>
        <w:tc>
          <w:tcPr>
            <w:tcW w:w="751" w:type="dxa"/>
            <w:noWrap/>
          </w:tcPr>
          <w:p w14:paraId="4D8E9D4C">
            <w:pPr>
              <w:pStyle w:val="39"/>
              <w:rPr>
                <w:rFonts w:ascii="宋体" w:hAnsi="宋体"/>
                <w:sz w:val="18"/>
                <w:szCs w:val="18"/>
              </w:rPr>
            </w:pPr>
            <w:r>
              <w:rPr>
                <w:rFonts w:ascii="宋体" w:hAnsi="宋体"/>
                <w:sz w:val="18"/>
                <w:szCs w:val="18"/>
              </w:rPr>
              <w:t xml:space="preserve">2.0000 </w:t>
            </w:r>
          </w:p>
        </w:tc>
        <w:tc>
          <w:tcPr>
            <w:tcW w:w="751" w:type="dxa"/>
            <w:noWrap/>
          </w:tcPr>
          <w:p w14:paraId="73354818">
            <w:pPr>
              <w:pStyle w:val="39"/>
              <w:rPr>
                <w:rFonts w:ascii="宋体" w:hAnsi="宋体"/>
                <w:sz w:val="18"/>
                <w:szCs w:val="18"/>
              </w:rPr>
            </w:pPr>
            <w:r>
              <w:rPr>
                <w:rFonts w:ascii="宋体" w:hAnsi="宋体"/>
                <w:sz w:val="18"/>
                <w:szCs w:val="18"/>
              </w:rPr>
              <w:t xml:space="preserve">1.8545 </w:t>
            </w:r>
          </w:p>
        </w:tc>
        <w:tc>
          <w:tcPr>
            <w:tcW w:w="751" w:type="dxa"/>
            <w:noWrap/>
          </w:tcPr>
          <w:p w14:paraId="5E1BB89A">
            <w:pPr>
              <w:pStyle w:val="39"/>
              <w:rPr>
                <w:rFonts w:ascii="宋体" w:hAnsi="宋体"/>
                <w:sz w:val="18"/>
                <w:szCs w:val="18"/>
              </w:rPr>
            </w:pPr>
            <w:r>
              <w:rPr>
                <w:rFonts w:ascii="宋体" w:hAnsi="宋体"/>
                <w:sz w:val="18"/>
                <w:szCs w:val="18"/>
              </w:rPr>
              <w:t xml:space="preserve">1.7292 </w:t>
            </w:r>
          </w:p>
        </w:tc>
        <w:tc>
          <w:tcPr>
            <w:tcW w:w="750" w:type="dxa"/>
            <w:noWrap/>
          </w:tcPr>
          <w:p w14:paraId="6885DDC2">
            <w:pPr>
              <w:pStyle w:val="39"/>
              <w:rPr>
                <w:rFonts w:ascii="宋体" w:hAnsi="宋体"/>
                <w:sz w:val="18"/>
                <w:szCs w:val="18"/>
              </w:rPr>
            </w:pPr>
            <w:r>
              <w:rPr>
                <w:rFonts w:ascii="宋体" w:hAnsi="宋体"/>
                <w:sz w:val="18"/>
                <w:szCs w:val="18"/>
              </w:rPr>
              <w:t xml:space="preserve">1.6209 </w:t>
            </w:r>
          </w:p>
        </w:tc>
        <w:tc>
          <w:tcPr>
            <w:tcW w:w="750" w:type="dxa"/>
            <w:noWrap/>
          </w:tcPr>
          <w:p w14:paraId="7299584E">
            <w:pPr>
              <w:pStyle w:val="39"/>
              <w:rPr>
                <w:rFonts w:ascii="宋体" w:hAnsi="宋体"/>
                <w:sz w:val="18"/>
                <w:szCs w:val="18"/>
              </w:rPr>
            </w:pPr>
            <w:r>
              <w:rPr>
                <w:rFonts w:ascii="宋体" w:hAnsi="宋体"/>
                <w:sz w:val="18"/>
                <w:szCs w:val="18"/>
              </w:rPr>
              <w:t xml:space="preserve">1.5266 </w:t>
            </w:r>
          </w:p>
        </w:tc>
        <w:tc>
          <w:tcPr>
            <w:tcW w:w="750" w:type="dxa"/>
            <w:noWrap/>
          </w:tcPr>
          <w:p w14:paraId="7FDD99B3">
            <w:pPr>
              <w:pStyle w:val="39"/>
              <w:rPr>
                <w:rFonts w:ascii="宋体" w:hAnsi="宋体"/>
                <w:sz w:val="18"/>
                <w:szCs w:val="18"/>
              </w:rPr>
            </w:pPr>
            <w:r>
              <w:rPr>
                <w:rFonts w:ascii="宋体" w:hAnsi="宋体"/>
                <w:sz w:val="18"/>
                <w:szCs w:val="18"/>
              </w:rPr>
              <w:t xml:space="preserve">1.4443 </w:t>
            </w:r>
          </w:p>
        </w:tc>
        <w:tc>
          <w:tcPr>
            <w:tcW w:w="750" w:type="dxa"/>
            <w:noWrap/>
          </w:tcPr>
          <w:p w14:paraId="735E617C">
            <w:pPr>
              <w:pStyle w:val="39"/>
              <w:rPr>
                <w:rFonts w:ascii="宋体" w:hAnsi="宋体"/>
                <w:sz w:val="18"/>
                <w:szCs w:val="18"/>
              </w:rPr>
            </w:pPr>
            <w:r>
              <w:rPr>
                <w:rFonts w:ascii="宋体" w:hAnsi="宋体"/>
                <w:sz w:val="18"/>
                <w:szCs w:val="18"/>
              </w:rPr>
              <w:t xml:space="preserve">1.3723 </w:t>
            </w:r>
          </w:p>
        </w:tc>
        <w:tc>
          <w:tcPr>
            <w:tcW w:w="750" w:type="dxa"/>
            <w:noWrap/>
          </w:tcPr>
          <w:p w14:paraId="06CEBCD3">
            <w:pPr>
              <w:pStyle w:val="39"/>
              <w:rPr>
                <w:rFonts w:ascii="宋体" w:hAnsi="宋体"/>
                <w:sz w:val="18"/>
                <w:szCs w:val="18"/>
              </w:rPr>
            </w:pPr>
            <w:r>
              <w:rPr>
                <w:rFonts w:ascii="宋体" w:hAnsi="宋体"/>
                <w:sz w:val="18"/>
                <w:szCs w:val="18"/>
              </w:rPr>
              <w:t xml:space="preserve">1.3092 </w:t>
            </w:r>
          </w:p>
        </w:tc>
        <w:tc>
          <w:tcPr>
            <w:tcW w:w="750" w:type="dxa"/>
            <w:noWrap/>
          </w:tcPr>
          <w:p w14:paraId="442E97FC">
            <w:pPr>
              <w:pStyle w:val="39"/>
              <w:rPr>
                <w:rFonts w:ascii="宋体" w:hAnsi="宋体"/>
                <w:sz w:val="18"/>
                <w:szCs w:val="18"/>
              </w:rPr>
            </w:pPr>
            <w:r>
              <w:rPr>
                <w:rFonts w:ascii="宋体" w:hAnsi="宋体"/>
                <w:sz w:val="18"/>
                <w:szCs w:val="18"/>
              </w:rPr>
              <w:t xml:space="preserve">1.2538 </w:t>
            </w:r>
          </w:p>
        </w:tc>
        <w:tc>
          <w:tcPr>
            <w:tcW w:w="750" w:type="dxa"/>
            <w:noWrap/>
          </w:tcPr>
          <w:p w14:paraId="4A897444">
            <w:pPr>
              <w:pStyle w:val="39"/>
              <w:rPr>
                <w:rFonts w:ascii="宋体" w:hAnsi="宋体"/>
                <w:sz w:val="18"/>
                <w:szCs w:val="18"/>
              </w:rPr>
            </w:pPr>
            <w:r>
              <w:rPr>
                <w:rFonts w:ascii="宋体" w:hAnsi="宋体"/>
                <w:sz w:val="18"/>
                <w:szCs w:val="18"/>
              </w:rPr>
              <w:t xml:space="preserve">1.2053 </w:t>
            </w:r>
          </w:p>
        </w:tc>
        <w:tc>
          <w:tcPr>
            <w:tcW w:w="750" w:type="dxa"/>
            <w:noWrap/>
          </w:tcPr>
          <w:p w14:paraId="163E26C1">
            <w:pPr>
              <w:pStyle w:val="39"/>
              <w:rPr>
                <w:rFonts w:ascii="宋体" w:hAnsi="宋体"/>
                <w:sz w:val="18"/>
                <w:szCs w:val="18"/>
              </w:rPr>
            </w:pPr>
            <w:r>
              <w:rPr>
                <w:rFonts w:ascii="宋体" w:hAnsi="宋体"/>
                <w:sz w:val="18"/>
                <w:szCs w:val="18"/>
              </w:rPr>
              <w:t xml:space="preserve">1.1630 </w:t>
            </w:r>
          </w:p>
        </w:tc>
      </w:tr>
      <w:tr w14:paraId="59760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1" w:type="dxa"/>
            <w:noWrap/>
          </w:tcPr>
          <w:p w14:paraId="591DB261">
            <w:pPr>
              <w:pStyle w:val="39"/>
              <w:rPr>
                <w:rFonts w:ascii="宋体" w:hAnsi="宋体"/>
                <w:sz w:val="18"/>
                <w:szCs w:val="18"/>
              </w:rPr>
            </w:pPr>
            <w:r>
              <w:rPr>
                <w:rFonts w:ascii="宋体" w:hAnsi="宋体"/>
                <w:sz w:val="18"/>
                <w:szCs w:val="18"/>
              </w:rPr>
              <w:t xml:space="preserve">0.70 </w:t>
            </w:r>
          </w:p>
        </w:tc>
        <w:tc>
          <w:tcPr>
            <w:tcW w:w="751" w:type="dxa"/>
            <w:noWrap/>
          </w:tcPr>
          <w:p w14:paraId="6351273A">
            <w:pPr>
              <w:pStyle w:val="39"/>
              <w:rPr>
                <w:rFonts w:ascii="宋体" w:hAnsi="宋体"/>
                <w:sz w:val="18"/>
                <w:szCs w:val="18"/>
              </w:rPr>
            </w:pPr>
            <w:r>
              <w:rPr>
                <w:rFonts w:ascii="宋体" w:hAnsi="宋体"/>
                <w:sz w:val="18"/>
                <w:szCs w:val="18"/>
              </w:rPr>
              <w:t xml:space="preserve">2.0000 </w:t>
            </w:r>
          </w:p>
        </w:tc>
        <w:tc>
          <w:tcPr>
            <w:tcW w:w="751" w:type="dxa"/>
            <w:noWrap/>
          </w:tcPr>
          <w:p w14:paraId="3B5ABCCE">
            <w:pPr>
              <w:pStyle w:val="39"/>
              <w:rPr>
                <w:rFonts w:ascii="宋体" w:hAnsi="宋体"/>
                <w:sz w:val="18"/>
                <w:szCs w:val="18"/>
              </w:rPr>
            </w:pPr>
            <w:r>
              <w:rPr>
                <w:rFonts w:ascii="宋体" w:hAnsi="宋体"/>
                <w:sz w:val="18"/>
                <w:szCs w:val="18"/>
              </w:rPr>
              <w:t xml:space="preserve">1.8545 </w:t>
            </w:r>
          </w:p>
        </w:tc>
        <w:tc>
          <w:tcPr>
            <w:tcW w:w="751" w:type="dxa"/>
            <w:noWrap/>
          </w:tcPr>
          <w:p w14:paraId="2309F16C">
            <w:pPr>
              <w:pStyle w:val="39"/>
              <w:rPr>
                <w:rFonts w:ascii="宋体" w:hAnsi="宋体"/>
                <w:sz w:val="18"/>
                <w:szCs w:val="18"/>
              </w:rPr>
            </w:pPr>
            <w:r>
              <w:rPr>
                <w:rFonts w:ascii="宋体" w:hAnsi="宋体"/>
                <w:sz w:val="18"/>
                <w:szCs w:val="18"/>
              </w:rPr>
              <w:t xml:space="preserve">1.7292 </w:t>
            </w:r>
          </w:p>
        </w:tc>
        <w:tc>
          <w:tcPr>
            <w:tcW w:w="750" w:type="dxa"/>
            <w:noWrap/>
          </w:tcPr>
          <w:p w14:paraId="4F7F73C1">
            <w:pPr>
              <w:pStyle w:val="39"/>
              <w:rPr>
                <w:rFonts w:ascii="宋体" w:hAnsi="宋体"/>
                <w:sz w:val="18"/>
                <w:szCs w:val="18"/>
              </w:rPr>
            </w:pPr>
            <w:r>
              <w:rPr>
                <w:rFonts w:ascii="宋体" w:hAnsi="宋体"/>
                <w:sz w:val="18"/>
                <w:szCs w:val="18"/>
              </w:rPr>
              <w:t xml:space="preserve">1.6209 </w:t>
            </w:r>
          </w:p>
        </w:tc>
        <w:tc>
          <w:tcPr>
            <w:tcW w:w="750" w:type="dxa"/>
            <w:noWrap/>
          </w:tcPr>
          <w:p w14:paraId="6788A3CE">
            <w:pPr>
              <w:pStyle w:val="39"/>
              <w:rPr>
                <w:rFonts w:ascii="宋体" w:hAnsi="宋体"/>
                <w:sz w:val="18"/>
                <w:szCs w:val="18"/>
              </w:rPr>
            </w:pPr>
            <w:r>
              <w:rPr>
                <w:rFonts w:ascii="宋体" w:hAnsi="宋体"/>
                <w:sz w:val="18"/>
                <w:szCs w:val="18"/>
              </w:rPr>
              <w:t xml:space="preserve">1.5266 </w:t>
            </w:r>
          </w:p>
        </w:tc>
        <w:tc>
          <w:tcPr>
            <w:tcW w:w="750" w:type="dxa"/>
            <w:noWrap/>
          </w:tcPr>
          <w:p w14:paraId="0000F6DF">
            <w:pPr>
              <w:pStyle w:val="39"/>
              <w:rPr>
                <w:rFonts w:ascii="宋体" w:hAnsi="宋体"/>
                <w:sz w:val="18"/>
                <w:szCs w:val="18"/>
              </w:rPr>
            </w:pPr>
            <w:r>
              <w:rPr>
                <w:rFonts w:ascii="宋体" w:hAnsi="宋体"/>
                <w:sz w:val="18"/>
                <w:szCs w:val="18"/>
              </w:rPr>
              <w:t xml:space="preserve">1.4443 </w:t>
            </w:r>
          </w:p>
        </w:tc>
        <w:tc>
          <w:tcPr>
            <w:tcW w:w="750" w:type="dxa"/>
            <w:noWrap/>
          </w:tcPr>
          <w:p w14:paraId="400B851B">
            <w:pPr>
              <w:pStyle w:val="39"/>
              <w:rPr>
                <w:rFonts w:ascii="宋体" w:hAnsi="宋体"/>
                <w:sz w:val="18"/>
                <w:szCs w:val="18"/>
              </w:rPr>
            </w:pPr>
            <w:r>
              <w:rPr>
                <w:rFonts w:ascii="宋体" w:hAnsi="宋体"/>
                <w:sz w:val="18"/>
                <w:szCs w:val="18"/>
              </w:rPr>
              <w:t xml:space="preserve">1.3723 </w:t>
            </w:r>
          </w:p>
        </w:tc>
        <w:tc>
          <w:tcPr>
            <w:tcW w:w="750" w:type="dxa"/>
            <w:noWrap/>
          </w:tcPr>
          <w:p w14:paraId="14FE2A37">
            <w:pPr>
              <w:pStyle w:val="39"/>
              <w:rPr>
                <w:rFonts w:ascii="宋体" w:hAnsi="宋体"/>
                <w:sz w:val="18"/>
                <w:szCs w:val="18"/>
              </w:rPr>
            </w:pPr>
            <w:r>
              <w:rPr>
                <w:rFonts w:ascii="宋体" w:hAnsi="宋体"/>
                <w:sz w:val="18"/>
                <w:szCs w:val="18"/>
              </w:rPr>
              <w:t xml:space="preserve">1.3092 </w:t>
            </w:r>
          </w:p>
        </w:tc>
        <w:tc>
          <w:tcPr>
            <w:tcW w:w="750" w:type="dxa"/>
            <w:noWrap/>
          </w:tcPr>
          <w:p w14:paraId="75A6334E">
            <w:pPr>
              <w:pStyle w:val="39"/>
              <w:rPr>
                <w:rFonts w:ascii="宋体" w:hAnsi="宋体"/>
                <w:sz w:val="18"/>
                <w:szCs w:val="18"/>
              </w:rPr>
            </w:pPr>
            <w:r>
              <w:rPr>
                <w:rFonts w:ascii="宋体" w:hAnsi="宋体"/>
                <w:sz w:val="18"/>
                <w:szCs w:val="18"/>
              </w:rPr>
              <w:t xml:space="preserve">1.2538 </w:t>
            </w:r>
          </w:p>
        </w:tc>
        <w:tc>
          <w:tcPr>
            <w:tcW w:w="750" w:type="dxa"/>
            <w:noWrap/>
          </w:tcPr>
          <w:p w14:paraId="040B2170">
            <w:pPr>
              <w:pStyle w:val="39"/>
              <w:rPr>
                <w:rFonts w:ascii="宋体" w:hAnsi="宋体"/>
                <w:sz w:val="18"/>
                <w:szCs w:val="18"/>
              </w:rPr>
            </w:pPr>
            <w:r>
              <w:rPr>
                <w:rFonts w:ascii="宋体" w:hAnsi="宋体"/>
                <w:sz w:val="18"/>
                <w:szCs w:val="18"/>
              </w:rPr>
              <w:t xml:space="preserve">1.2053 </w:t>
            </w:r>
          </w:p>
        </w:tc>
        <w:tc>
          <w:tcPr>
            <w:tcW w:w="750" w:type="dxa"/>
            <w:noWrap/>
          </w:tcPr>
          <w:p w14:paraId="3A0E80F5">
            <w:pPr>
              <w:pStyle w:val="39"/>
              <w:rPr>
                <w:rFonts w:ascii="宋体" w:hAnsi="宋体"/>
                <w:sz w:val="18"/>
                <w:szCs w:val="18"/>
              </w:rPr>
            </w:pPr>
            <w:r>
              <w:rPr>
                <w:rFonts w:ascii="宋体" w:hAnsi="宋体"/>
                <w:sz w:val="18"/>
                <w:szCs w:val="18"/>
              </w:rPr>
              <w:t xml:space="preserve">1.1630 </w:t>
            </w:r>
          </w:p>
        </w:tc>
      </w:tr>
      <w:tr w14:paraId="44B72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1" w:type="dxa"/>
            <w:noWrap/>
          </w:tcPr>
          <w:p w14:paraId="1F96B57B">
            <w:pPr>
              <w:pStyle w:val="39"/>
              <w:rPr>
                <w:rFonts w:ascii="宋体" w:hAnsi="宋体"/>
                <w:sz w:val="18"/>
                <w:szCs w:val="18"/>
              </w:rPr>
            </w:pPr>
            <w:r>
              <w:rPr>
                <w:rFonts w:ascii="宋体" w:hAnsi="宋体"/>
                <w:sz w:val="18"/>
                <w:szCs w:val="18"/>
              </w:rPr>
              <w:t xml:space="preserve">0.75 </w:t>
            </w:r>
          </w:p>
        </w:tc>
        <w:tc>
          <w:tcPr>
            <w:tcW w:w="751" w:type="dxa"/>
            <w:noWrap/>
          </w:tcPr>
          <w:p w14:paraId="73BCFE81">
            <w:pPr>
              <w:pStyle w:val="39"/>
              <w:rPr>
                <w:rFonts w:ascii="宋体" w:hAnsi="宋体"/>
                <w:sz w:val="18"/>
                <w:szCs w:val="18"/>
              </w:rPr>
            </w:pPr>
            <w:r>
              <w:rPr>
                <w:rFonts w:ascii="宋体" w:hAnsi="宋体"/>
                <w:sz w:val="18"/>
                <w:szCs w:val="18"/>
              </w:rPr>
              <w:t xml:space="preserve">2.0000 </w:t>
            </w:r>
          </w:p>
        </w:tc>
        <w:tc>
          <w:tcPr>
            <w:tcW w:w="751" w:type="dxa"/>
            <w:noWrap/>
          </w:tcPr>
          <w:p w14:paraId="347C9E5D">
            <w:pPr>
              <w:pStyle w:val="39"/>
              <w:rPr>
                <w:rFonts w:ascii="宋体" w:hAnsi="宋体"/>
                <w:sz w:val="18"/>
                <w:szCs w:val="18"/>
              </w:rPr>
            </w:pPr>
            <w:r>
              <w:rPr>
                <w:rFonts w:ascii="宋体" w:hAnsi="宋体"/>
                <w:sz w:val="18"/>
                <w:szCs w:val="18"/>
              </w:rPr>
              <w:t xml:space="preserve">1.8545 </w:t>
            </w:r>
          </w:p>
        </w:tc>
        <w:tc>
          <w:tcPr>
            <w:tcW w:w="751" w:type="dxa"/>
            <w:noWrap/>
          </w:tcPr>
          <w:p w14:paraId="2BD4273C">
            <w:pPr>
              <w:pStyle w:val="39"/>
              <w:rPr>
                <w:rFonts w:ascii="宋体" w:hAnsi="宋体"/>
                <w:sz w:val="18"/>
                <w:szCs w:val="18"/>
              </w:rPr>
            </w:pPr>
            <w:r>
              <w:rPr>
                <w:rFonts w:ascii="宋体" w:hAnsi="宋体"/>
                <w:sz w:val="18"/>
                <w:szCs w:val="18"/>
              </w:rPr>
              <w:t xml:space="preserve">1.7292 </w:t>
            </w:r>
          </w:p>
        </w:tc>
        <w:tc>
          <w:tcPr>
            <w:tcW w:w="750" w:type="dxa"/>
            <w:noWrap/>
          </w:tcPr>
          <w:p w14:paraId="04F1ED49">
            <w:pPr>
              <w:pStyle w:val="39"/>
              <w:rPr>
                <w:rFonts w:ascii="宋体" w:hAnsi="宋体"/>
                <w:sz w:val="18"/>
                <w:szCs w:val="18"/>
              </w:rPr>
            </w:pPr>
            <w:r>
              <w:rPr>
                <w:rFonts w:ascii="宋体" w:hAnsi="宋体"/>
                <w:sz w:val="18"/>
                <w:szCs w:val="18"/>
              </w:rPr>
              <w:t xml:space="preserve">1.6209 </w:t>
            </w:r>
          </w:p>
        </w:tc>
        <w:tc>
          <w:tcPr>
            <w:tcW w:w="750" w:type="dxa"/>
            <w:noWrap/>
          </w:tcPr>
          <w:p w14:paraId="5028BDBE">
            <w:pPr>
              <w:pStyle w:val="39"/>
              <w:rPr>
                <w:rFonts w:ascii="宋体" w:hAnsi="宋体"/>
                <w:sz w:val="18"/>
                <w:szCs w:val="18"/>
              </w:rPr>
            </w:pPr>
            <w:r>
              <w:rPr>
                <w:rFonts w:ascii="宋体" w:hAnsi="宋体"/>
                <w:sz w:val="18"/>
                <w:szCs w:val="18"/>
              </w:rPr>
              <w:t xml:space="preserve">1.5266 </w:t>
            </w:r>
          </w:p>
        </w:tc>
        <w:tc>
          <w:tcPr>
            <w:tcW w:w="750" w:type="dxa"/>
            <w:noWrap/>
          </w:tcPr>
          <w:p w14:paraId="46041304">
            <w:pPr>
              <w:pStyle w:val="39"/>
              <w:rPr>
                <w:rFonts w:ascii="宋体" w:hAnsi="宋体"/>
                <w:sz w:val="18"/>
                <w:szCs w:val="18"/>
              </w:rPr>
            </w:pPr>
            <w:r>
              <w:rPr>
                <w:rFonts w:ascii="宋体" w:hAnsi="宋体"/>
                <w:sz w:val="18"/>
                <w:szCs w:val="18"/>
              </w:rPr>
              <w:t xml:space="preserve">1.4443 </w:t>
            </w:r>
          </w:p>
        </w:tc>
        <w:tc>
          <w:tcPr>
            <w:tcW w:w="750" w:type="dxa"/>
            <w:noWrap/>
          </w:tcPr>
          <w:p w14:paraId="255A56FF">
            <w:pPr>
              <w:pStyle w:val="39"/>
              <w:rPr>
                <w:rFonts w:ascii="宋体" w:hAnsi="宋体"/>
                <w:sz w:val="18"/>
                <w:szCs w:val="18"/>
              </w:rPr>
            </w:pPr>
            <w:r>
              <w:rPr>
                <w:rFonts w:ascii="宋体" w:hAnsi="宋体"/>
                <w:sz w:val="18"/>
                <w:szCs w:val="18"/>
              </w:rPr>
              <w:t xml:space="preserve">1.3723 </w:t>
            </w:r>
          </w:p>
        </w:tc>
        <w:tc>
          <w:tcPr>
            <w:tcW w:w="750" w:type="dxa"/>
            <w:noWrap/>
          </w:tcPr>
          <w:p w14:paraId="15C8469C">
            <w:pPr>
              <w:pStyle w:val="39"/>
              <w:rPr>
                <w:rFonts w:ascii="宋体" w:hAnsi="宋体"/>
                <w:sz w:val="18"/>
                <w:szCs w:val="18"/>
              </w:rPr>
            </w:pPr>
            <w:r>
              <w:rPr>
                <w:rFonts w:ascii="宋体" w:hAnsi="宋体"/>
                <w:sz w:val="18"/>
                <w:szCs w:val="18"/>
              </w:rPr>
              <w:t xml:space="preserve">1.3092 </w:t>
            </w:r>
          </w:p>
        </w:tc>
        <w:tc>
          <w:tcPr>
            <w:tcW w:w="750" w:type="dxa"/>
            <w:noWrap/>
          </w:tcPr>
          <w:p w14:paraId="3F499D92">
            <w:pPr>
              <w:pStyle w:val="39"/>
              <w:rPr>
                <w:rFonts w:ascii="宋体" w:hAnsi="宋体"/>
                <w:sz w:val="18"/>
                <w:szCs w:val="18"/>
              </w:rPr>
            </w:pPr>
            <w:r>
              <w:rPr>
                <w:rFonts w:ascii="宋体" w:hAnsi="宋体"/>
                <w:sz w:val="18"/>
                <w:szCs w:val="18"/>
              </w:rPr>
              <w:t xml:space="preserve">1.2538 </w:t>
            </w:r>
          </w:p>
        </w:tc>
        <w:tc>
          <w:tcPr>
            <w:tcW w:w="750" w:type="dxa"/>
            <w:noWrap/>
          </w:tcPr>
          <w:p w14:paraId="062ECE26">
            <w:pPr>
              <w:pStyle w:val="39"/>
              <w:rPr>
                <w:rFonts w:ascii="宋体" w:hAnsi="宋体"/>
                <w:sz w:val="18"/>
                <w:szCs w:val="18"/>
              </w:rPr>
            </w:pPr>
            <w:r>
              <w:rPr>
                <w:rFonts w:ascii="宋体" w:hAnsi="宋体"/>
                <w:sz w:val="18"/>
                <w:szCs w:val="18"/>
              </w:rPr>
              <w:t xml:space="preserve">1.2053 </w:t>
            </w:r>
          </w:p>
        </w:tc>
        <w:tc>
          <w:tcPr>
            <w:tcW w:w="750" w:type="dxa"/>
            <w:noWrap/>
          </w:tcPr>
          <w:p w14:paraId="4CA72EB1">
            <w:pPr>
              <w:pStyle w:val="39"/>
              <w:rPr>
                <w:rFonts w:ascii="宋体" w:hAnsi="宋体"/>
                <w:sz w:val="18"/>
                <w:szCs w:val="18"/>
              </w:rPr>
            </w:pPr>
            <w:r>
              <w:rPr>
                <w:rFonts w:ascii="宋体" w:hAnsi="宋体"/>
                <w:sz w:val="18"/>
                <w:szCs w:val="18"/>
              </w:rPr>
              <w:t xml:space="preserve">1.1630 </w:t>
            </w:r>
          </w:p>
        </w:tc>
      </w:tr>
      <w:tr w14:paraId="26B7D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1" w:type="dxa"/>
            <w:noWrap/>
          </w:tcPr>
          <w:p w14:paraId="4068C2C6">
            <w:pPr>
              <w:pStyle w:val="39"/>
              <w:rPr>
                <w:rFonts w:ascii="宋体" w:hAnsi="宋体"/>
                <w:sz w:val="18"/>
                <w:szCs w:val="18"/>
              </w:rPr>
            </w:pPr>
            <w:r>
              <w:rPr>
                <w:rFonts w:ascii="宋体" w:hAnsi="宋体"/>
                <w:sz w:val="18"/>
                <w:szCs w:val="18"/>
              </w:rPr>
              <w:t xml:space="preserve">0.80 </w:t>
            </w:r>
          </w:p>
        </w:tc>
        <w:tc>
          <w:tcPr>
            <w:tcW w:w="751" w:type="dxa"/>
            <w:noWrap/>
          </w:tcPr>
          <w:p w14:paraId="0E0501F2">
            <w:pPr>
              <w:pStyle w:val="39"/>
              <w:rPr>
                <w:rFonts w:ascii="宋体" w:hAnsi="宋体"/>
                <w:sz w:val="18"/>
                <w:szCs w:val="18"/>
              </w:rPr>
            </w:pPr>
            <w:r>
              <w:rPr>
                <w:rFonts w:ascii="宋体" w:hAnsi="宋体"/>
                <w:sz w:val="18"/>
                <w:szCs w:val="18"/>
              </w:rPr>
              <w:t xml:space="preserve">2.0000 </w:t>
            </w:r>
          </w:p>
        </w:tc>
        <w:tc>
          <w:tcPr>
            <w:tcW w:w="751" w:type="dxa"/>
            <w:noWrap/>
          </w:tcPr>
          <w:p w14:paraId="7128567C">
            <w:pPr>
              <w:pStyle w:val="39"/>
              <w:rPr>
                <w:rFonts w:ascii="宋体" w:hAnsi="宋体"/>
                <w:sz w:val="18"/>
                <w:szCs w:val="18"/>
              </w:rPr>
            </w:pPr>
            <w:r>
              <w:rPr>
                <w:rFonts w:ascii="宋体" w:hAnsi="宋体"/>
                <w:sz w:val="18"/>
                <w:szCs w:val="18"/>
              </w:rPr>
              <w:t xml:space="preserve">1.8545 </w:t>
            </w:r>
          </w:p>
        </w:tc>
        <w:tc>
          <w:tcPr>
            <w:tcW w:w="751" w:type="dxa"/>
            <w:noWrap/>
          </w:tcPr>
          <w:p w14:paraId="338ACE61">
            <w:pPr>
              <w:pStyle w:val="39"/>
              <w:rPr>
                <w:rFonts w:ascii="宋体" w:hAnsi="宋体"/>
                <w:sz w:val="18"/>
                <w:szCs w:val="18"/>
              </w:rPr>
            </w:pPr>
            <w:r>
              <w:rPr>
                <w:rFonts w:ascii="宋体" w:hAnsi="宋体"/>
                <w:sz w:val="18"/>
                <w:szCs w:val="18"/>
              </w:rPr>
              <w:t xml:space="preserve">1.7292 </w:t>
            </w:r>
          </w:p>
        </w:tc>
        <w:tc>
          <w:tcPr>
            <w:tcW w:w="750" w:type="dxa"/>
            <w:noWrap/>
          </w:tcPr>
          <w:p w14:paraId="6F1C387A">
            <w:pPr>
              <w:pStyle w:val="39"/>
              <w:rPr>
                <w:rFonts w:ascii="宋体" w:hAnsi="宋体"/>
                <w:sz w:val="18"/>
                <w:szCs w:val="18"/>
              </w:rPr>
            </w:pPr>
            <w:r>
              <w:rPr>
                <w:rFonts w:ascii="宋体" w:hAnsi="宋体"/>
                <w:sz w:val="18"/>
                <w:szCs w:val="18"/>
              </w:rPr>
              <w:t xml:space="preserve">1.6209 </w:t>
            </w:r>
          </w:p>
        </w:tc>
        <w:tc>
          <w:tcPr>
            <w:tcW w:w="750" w:type="dxa"/>
            <w:noWrap/>
          </w:tcPr>
          <w:p w14:paraId="28AF86F9">
            <w:pPr>
              <w:pStyle w:val="39"/>
              <w:rPr>
                <w:rFonts w:ascii="宋体" w:hAnsi="宋体"/>
                <w:sz w:val="18"/>
                <w:szCs w:val="18"/>
              </w:rPr>
            </w:pPr>
            <w:r>
              <w:rPr>
                <w:rFonts w:ascii="宋体" w:hAnsi="宋体"/>
                <w:sz w:val="18"/>
                <w:szCs w:val="18"/>
              </w:rPr>
              <w:t xml:space="preserve">1.5266 </w:t>
            </w:r>
          </w:p>
        </w:tc>
        <w:tc>
          <w:tcPr>
            <w:tcW w:w="750" w:type="dxa"/>
            <w:noWrap/>
          </w:tcPr>
          <w:p w14:paraId="70D9D299">
            <w:pPr>
              <w:pStyle w:val="39"/>
              <w:rPr>
                <w:rFonts w:ascii="宋体" w:hAnsi="宋体"/>
                <w:sz w:val="18"/>
                <w:szCs w:val="18"/>
              </w:rPr>
            </w:pPr>
            <w:r>
              <w:rPr>
                <w:rFonts w:ascii="宋体" w:hAnsi="宋体"/>
                <w:sz w:val="18"/>
                <w:szCs w:val="18"/>
              </w:rPr>
              <w:t xml:space="preserve">1.4443 </w:t>
            </w:r>
          </w:p>
        </w:tc>
        <w:tc>
          <w:tcPr>
            <w:tcW w:w="750" w:type="dxa"/>
            <w:noWrap/>
          </w:tcPr>
          <w:p w14:paraId="6F71371C">
            <w:pPr>
              <w:pStyle w:val="39"/>
              <w:rPr>
                <w:rFonts w:ascii="宋体" w:hAnsi="宋体"/>
                <w:sz w:val="18"/>
                <w:szCs w:val="18"/>
              </w:rPr>
            </w:pPr>
            <w:r>
              <w:rPr>
                <w:rFonts w:ascii="宋体" w:hAnsi="宋体"/>
                <w:sz w:val="18"/>
                <w:szCs w:val="18"/>
              </w:rPr>
              <w:t xml:space="preserve">1.3723 </w:t>
            </w:r>
          </w:p>
        </w:tc>
        <w:tc>
          <w:tcPr>
            <w:tcW w:w="750" w:type="dxa"/>
            <w:noWrap/>
          </w:tcPr>
          <w:p w14:paraId="655C0D01">
            <w:pPr>
              <w:pStyle w:val="39"/>
              <w:rPr>
                <w:rFonts w:ascii="宋体" w:hAnsi="宋体"/>
                <w:sz w:val="18"/>
                <w:szCs w:val="18"/>
              </w:rPr>
            </w:pPr>
            <w:r>
              <w:rPr>
                <w:rFonts w:ascii="宋体" w:hAnsi="宋体"/>
                <w:sz w:val="18"/>
                <w:szCs w:val="18"/>
              </w:rPr>
              <w:t xml:space="preserve">1.3092 </w:t>
            </w:r>
          </w:p>
        </w:tc>
        <w:tc>
          <w:tcPr>
            <w:tcW w:w="750" w:type="dxa"/>
            <w:noWrap/>
          </w:tcPr>
          <w:p w14:paraId="176BC57E">
            <w:pPr>
              <w:pStyle w:val="39"/>
              <w:rPr>
                <w:rFonts w:ascii="宋体" w:hAnsi="宋体"/>
                <w:sz w:val="18"/>
                <w:szCs w:val="18"/>
              </w:rPr>
            </w:pPr>
            <w:r>
              <w:rPr>
                <w:rFonts w:ascii="宋体" w:hAnsi="宋体"/>
                <w:sz w:val="18"/>
                <w:szCs w:val="18"/>
              </w:rPr>
              <w:t xml:space="preserve">1.2538 </w:t>
            </w:r>
          </w:p>
        </w:tc>
        <w:tc>
          <w:tcPr>
            <w:tcW w:w="750" w:type="dxa"/>
            <w:noWrap/>
          </w:tcPr>
          <w:p w14:paraId="1C843C5B">
            <w:pPr>
              <w:pStyle w:val="39"/>
              <w:rPr>
                <w:rFonts w:ascii="宋体" w:hAnsi="宋体"/>
                <w:sz w:val="18"/>
                <w:szCs w:val="18"/>
              </w:rPr>
            </w:pPr>
            <w:r>
              <w:rPr>
                <w:rFonts w:ascii="宋体" w:hAnsi="宋体"/>
                <w:sz w:val="18"/>
                <w:szCs w:val="18"/>
              </w:rPr>
              <w:t xml:space="preserve">1.2053 </w:t>
            </w:r>
          </w:p>
        </w:tc>
        <w:tc>
          <w:tcPr>
            <w:tcW w:w="750" w:type="dxa"/>
            <w:noWrap/>
          </w:tcPr>
          <w:p w14:paraId="180C30C6">
            <w:pPr>
              <w:pStyle w:val="39"/>
              <w:rPr>
                <w:rFonts w:ascii="宋体" w:hAnsi="宋体"/>
                <w:sz w:val="18"/>
                <w:szCs w:val="18"/>
              </w:rPr>
            </w:pPr>
            <w:r>
              <w:rPr>
                <w:rFonts w:ascii="宋体" w:hAnsi="宋体"/>
                <w:sz w:val="18"/>
                <w:szCs w:val="18"/>
              </w:rPr>
              <w:t xml:space="preserve">1.1630 </w:t>
            </w:r>
          </w:p>
        </w:tc>
      </w:tr>
      <w:tr w14:paraId="4D3ED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1" w:type="dxa"/>
            <w:noWrap/>
          </w:tcPr>
          <w:p w14:paraId="765466AA">
            <w:pPr>
              <w:pStyle w:val="39"/>
              <w:rPr>
                <w:rFonts w:ascii="宋体" w:hAnsi="宋体"/>
                <w:sz w:val="18"/>
                <w:szCs w:val="18"/>
              </w:rPr>
            </w:pPr>
            <w:r>
              <w:rPr>
                <w:rFonts w:ascii="宋体" w:hAnsi="宋体"/>
                <w:sz w:val="18"/>
                <w:szCs w:val="18"/>
              </w:rPr>
              <w:t xml:space="preserve">0.85 </w:t>
            </w:r>
          </w:p>
        </w:tc>
        <w:tc>
          <w:tcPr>
            <w:tcW w:w="751" w:type="dxa"/>
            <w:noWrap/>
          </w:tcPr>
          <w:p w14:paraId="1EF376CE">
            <w:pPr>
              <w:pStyle w:val="39"/>
              <w:rPr>
                <w:rFonts w:ascii="宋体" w:hAnsi="宋体"/>
                <w:sz w:val="18"/>
                <w:szCs w:val="18"/>
              </w:rPr>
            </w:pPr>
            <w:r>
              <w:rPr>
                <w:rFonts w:ascii="宋体" w:hAnsi="宋体"/>
                <w:sz w:val="18"/>
                <w:szCs w:val="18"/>
              </w:rPr>
              <w:t xml:space="preserve">2.0000 </w:t>
            </w:r>
          </w:p>
        </w:tc>
        <w:tc>
          <w:tcPr>
            <w:tcW w:w="751" w:type="dxa"/>
            <w:noWrap/>
          </w:tcPr>
          <w:p w14:paraId="7D2177CD">
            <w:pPr>
              <w:pStyle w:val="39"/>
              <w:rPr>
                <w:rFonts w:ascii="宋体" w:hAnsi="宋体"/>
                <w:sz w:val="18"/>
                <w:szCs w:val="18"/>
              </w:rPr>
            </w:pPr>
            <w:r>
              <w:rPr>
                <w:rFonts w:ascii="宋体" w:hAnsi="宋体"/>
                <w:sz w:val="18"/>
                <w:szCs w:val="18"/>
              </w:rPr>
              <w:t xml:space="preserve">1.8545 </w:t>
            </w:r>
          </w:p>
        </w:tc>
        <w:tc>
          <w:tcPr>
            <w:tcW w:w="751" w:type="dxa"/>
            <w:noWrap/>
          </w:tcPr>
          <w:p w14:paraId="07FDF1CE">
            <w:pPr>
              <w:pStyle w:val="39"/>
              <w:rPr>
                <w:rFonts w:ascii="宋体" w:hAnsi="宋体"/>
                <w:sz w:val="18"/>
                <w:szCs w:val="18"/>
              </w:rPr>
            </w:pPr>
            <w:r>
              <w:rPr>
                <w:rFonts w:ascii="宋体" w:hAnsi="宋体"/>
                <w:sz w:val="18"/>
                <w:szCs w:val="18"/>
              </w:rPr>
              <w:t xml:space="preserve">1.7292 </w:t>
            </w:r>
          </w:p>
        </w:tc>
        <w:tc>
          <w:tcPr>
            <w:tcW w:w="750" w:type="dxa"/>
            <w:noWrap/>
          </w:tcPr>
          <w:p w14:paraId="343228E7">
            <w:pPr>
              <w:pStyle w:val="39"/>
              <w:rPr>
                <w:rFonts w:ascii="宋体" w:hAnsi="宋体"/>
                <w:sz w:val="18"/>
                <w:szCs w:val="18"/>
              </w:rPr>
            </w:pPr>
            <w:r>
              <w:rPr>
                <w:rFonts w:ascii="宋体" w:hAnsi="宋体"/>
                <w:sz w:val="18"/>
                <w:szCs w:val="18"/>
              </w:rPr>
              <w:t xml:space="preserve">1.6209 </w:t>
            </w:r>
          </w:p>
        </w:tc>
        <w:tc>
          <w:tcPr>
            <w:tcW w:w="750" w:type="dxa"/>
            <w:noWrap/>
          </w:tcPr>
          <w:p w14:paraId="0358012F">
            <w:pPr>
              <w:pStyle w:val="39"/>
              <w:rPr>
                <w:rFonts w:ascii="宋体" w:hAnsi="宋体"/>
                <w:sz w:val="18"/>
                <w:szCs w:val="18"/>
              </w:rPr>
            </w:pPr>
            <w:r>
              <w:rPr>
                <w:rFonts w:ascii="宋体" w:hAnsi="宋体"/>
                <w:sz w:val="18"/>
                <w:szCs w:val="18"/>
              </w:rPr>
              <w:t xml:space="preserve">1.5266 </w:t>
            </w:r>
          </w:p>
        </w:tc>
        <w:tc>
          <w:tcPr>
            <w:tcW w:w="750" w:type="dxa"/>
            <w:noWrap/>
          </w:tcPr>
          <w:p w14:paraId="623224B0">
            <w:pPr>
              <w:pStyle w:val="39"/>
              <w:rPr>
                <w:rFonts w:ascii="宋体" w:hAnsi="宋体"/>
                <w:sz w:val="18"/>
                <w:szCs w:val="18"/>
              </w:rPr>
            </w:pPr>
            <w:r>
              <w:rPr>
                <w:rFonts w:ascii="宋体" w:hAnsi="宋体"/>
                <w:sz w:val="18"/>
                <w:szCs w:val="18"/>
              </w:rPr>
              <w:t xml:space="preserve">1.4443 </w:t>
            </w:r>
          </w:p>
        </w:tc>
        <w:tc>
          <w:tcPr>
            <w:tcW w:w="750" w:type="dxa"/>
            <w:noWrap/>
          </w:tcPr>
          <w:p w14:paraId="38B6721E">
            <w:pPr>
              <w:pStyle w:val="39"/>
              <w:rPr>
                <w:rFonts w:ascii="宋体" w:hAnsi="宋体"/>
                <w:sz w:val="18"/>
                <w:szCs w:val="18"/>
              </w:rPr>
            </w:pPr>
            <w:r>
              <w:rPr>
                <w:rFonts w:ascii="宋体" w:hAnsi="宋体"/>
                <w:sz w:val="18"/>
                <w:szCs w:val="18"/>
              </w:rPr>
              <w:t xml:space="preserve">1.3723 </w:t>
            </w:r>
          </w:p>
        </w:tc>
        <w:tc>
          <w:tcPr>
            <w:tcW w:w="750" w:type="dxa"/>
            <w:noWrap/>
          </w:tcPr>
          <w:p w14:paraId="4A44BE3E">
            <w:pPr>
              <w:pStyle w:val="39"/>
              <w:rPr>
                <w:rFonts w:ascii="宋体" w:hAnsi="宋体"/>
                <w:sz w:val="18"/>
                <w:szCs w:val="18"/>
              </w:rPr>
            </w:pPr>
            <w:r>
              <w:rPr>
                <w:rFonts w:ascii="宋体" w:hAnsi="宋体"/>
                <w:sz w:val="18"/>
                <w:szCs w:val="18"/>
              </w:rPr>
              <w:t xml:space="preserve">1.3092 </w:t>
            </w:r>
          </w:p>
        </w:tc>
        <w:tc>
          <w:tcPr>
            <w:tcW w:w="750" w:type="dxa"/>
            <w:noWrap/>
          </w:tcPr>
          <w:p w14:paraId="4A432617">
            <w:pPr>
              <w:pStyle w:val="39"/>
              <w:rPr>
                <w:rFonts w:ascii="宋体" w:hAnsi="宋体"/>
                <w:sz w:val="18"/>
                <w:szCs w:val="18"/>
              </w:rPr>
            </w:pPr>
            <w:r>
              <w:rPr>
                <w:rFonts w:ascii="宋体" w:hAnsi="宋体"/>
                <w:sz w:val="18"/>
                <w:szCs w:val="18"/>
              </w:rPr>
              <w:t xml:space="preserve">1.2538 </w:t>
            </w:r>
          </w:p>
        </w:tc>
        <w:tc>
          <w:tcPr>
            <w:tcW w:w="750" w:type="dxa"/>
            <w:noWrap/>
          </w:tcPr>
          <w:p w14:paraId="0D192AD5">
            <w:pPr>
              <w:pStyle w:val="39"/>
              <w:rPr>
                <w:rFonts w:ascii="宋体" w:hAnsi="宋体"/>
                <w:sz w:val="18"/>
                <w:szCs w:val="18"/>
              </w:rPr>
            </w:pPr>
            <w:r>
              <w:rPr>
                <w:rFonts w:ascii="宋体" w:hAnsi="宋体"/>
                <w:sz w:val="18"/>
                <w:szCs w:val="18"/>
              </w:rPr>
              <w:t xml:space="preserve">1.2053 </w:t>
            </w:r>
          </w:p>
        </w:tc>
        <w:tc>
          <w:tcPr>
            <w:tcW w:w="750" w:type="dxa"/>
            <w:noWrap/>
          </w:tcPr>
          <w:p w14:paraId="198CE521">
            <w:pPr>
              <w:pStyle w:val="39"/>
              <w:rPr>
                <w:rFonts w:ascii="宋体" w:hAnsi="宋体"/>
                <w:sz w:val="18"/>
                <w:szCs w:val="18"/>
              </w:rPr>
            </w:pPr>
            <w:r>
              <w:rPr>
                <w:rFonts w:ascii="宋体" w:hAnsi="宋体"/>
                <w:sz w:val="18"/>
                <w:szCs w:val="18"/>
              </w:rPr>
              <w:t xml:space="preserve">1.1630 </w:t>
            </w:r>
          </w:p>
        </w:tc>
      </w:tr>
      <w:tr w14:paraId="197E2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1" w:type="dxa"/>
            <w:noWrap/>
          </w:tcPr>
          <w:p w14:paraId="7F855B96">
            <w:pPr>
              <w:pStyle w:val="39"/>
              <w:rPr>
                <w:rFonts w:ascii="宋体" w:hAnsi="宋体"/>
                <w:sz w:val="18"/>
                <w:szCs w:val="18"/>
              </w:rPr>
            </w:pPr>
            <w:r>
              <w:rPr>
                <w:rFonts w:ascii="宋体" w:hAnsi="宋体"/>
                <w:sz w:val="18"/>
                <w:szCs w:val="18"/>
              </w:rPr>
              <w:t xml:space="preserve">0.90 </w:t>
            </w:r>
          </w:p>
        </w:tc>
        <w:tc>
          <w:tcPr>
            <w:tcW w:w="751" w:type="dxa"/>
            <w:noWrap/>
          </w:tcPr>
          <w:p w14:paraId="3A179370">
            <w:pPr>
              <w:pStyle w:val="39"/>
              <w:rPr>
                <w:rFonts w:ascii="宋体" w:hAnsi="宋体"/>
                <w:sz w:val="18"/>
                <w:szCs w:val="18"/>
              </w:rPr>
            </w:pPr>
            <w:r>
              <w:rPr>
                <w:rFonts w:ascii="宋体" w:hAnsi="宋体"/>
                <w:sz w:val="18"/>
                <w:szCs w:val="18"/>
              </w:rPr>
              <w:t xml:space="preserve">2.0000 </w:t>
            </w:r>
          </w:p>
        </w:tc>
        <w:tc>
          <w:tcPr>
            <w:tcW w:w="751" w:type="dxa"/>
            <w:noWrap/>
          </w:tcPr>
          <w:p w14:paraId="357FF299">
            <w:pPr>
              <w:pStyle w:val="39"/>
              <w:rPr>
                <w:rFonts w:ascii="宋体" w:hAnsi="宋体"/>
                <w:sz w:val="18"/>
                <w:szCs w:val="18"/>
              </w:rPr>
            </w:pPr>
            <w:r>
              <w:rPr>
                <w:rFonts w:ascii="宋体" w:hAnsi="宋体"/>
                <w:sz w:val="18"/>
                <w:szCs w:val="18"/>
              </w:rPr>
              <w:t xml:space="preserve">1.8545 </w:t>
            </w:r>
          </w:p>
        </w:tc>
        <w:tc>
          <w:tcPr>
            <w:tcW w:w="751" w:type="dxa"/>
            <w:noWrap/>
          </w:tcPr>
          <w:p w14:paraId="088AB94B">
            <w:pPr>
              <w:pStyle w:val="39"/>
              <w:rPr>
                <w:rFonts w:ascii="宋体" w:hAnsi="宋体"/>
                <w:sz w:val="18"/>
                <w:szCs w:val="18"/>
              </w:rPr>
            </w:pPr>
            <w:r>
              <w:rPr>
                <w:rFonts w:ascii="宋体" w:hAnsi="宋体"/>
                <w:sz w:val="18"/>
                <w:szCs w:val="18"/>
              </w:rPr>
              <w:t xml:space="preserve">1.7292 </w:t>
            </w:r>
          </w:p>
        </w:tc>
        <w:tc>
          <w:tcPr>
            <w:tcW w:w="750" w:type="dxa"/>
            <w:noWrap/>
          </w:tcPr>
          <w:p w14:paraId="4CF32054">
            <w:pPr>
              <w:pStyle w:val="39"/>
              <w:rPr>
                <w:rFonts w:ascii="宋体" w:hAnsi="宋体"/>
                <w:sz w:val="18"/>
                <w:szCs w:val="18"/>
              </w:rPr>
            </w:pPr>
            <w:r>
              <w:rPr>
                <w:rFonts w:ascii="宋体" w:hAnsi="宋体"/>
                <w:sz w:val="18"/>
                <w:szCs w:val="18"/>
              </w:rPr>
              <w:t xml:space="preserve">1.6209 </w:t>
            </w:r>
          </w:p>
        </w:tc>
        <w:tc>
          <w:tcPr>
            <w:tcW w:w="750" w:type="dxa"/>
            <w:noWrap/>
          </w:tcPr>
          <w:p w14:paraId="262C0531">
            <w:pPr>
              <w:pStyle w:val="39"/>
              <w:rPr>
                <w:rFonts w:ascii="宋体" w:hAnsi="宋体"/>
                <w:sz w:val="18"/>
                <w:szCs w:val="18"/>
              </w:rPr>
            </w:pPr>
            <w:r>
              <w:rPr>
                <w:rFonts w:ascii="宋体" w:hAnsi="宋体"/>
                <w:sz w:val="18"/>
                <w:szCs w:val="18"/>
              </w:rPr>
              <w:t xml:space="preserve">1.5266 </w:t>
            </w:r>
          </w:p>
        </w:tc>
        <w:tc>
          <w:tcPr>
            <w:tcW w:w="750" w:type="dxa"/>
            <w:noWrap/>
          </w:tcPr>
          <w:p w14:paraId="01CFF801">
            <w:pPr>
              <w:pStyle w:val="39"/>
              <w:rPr>
                <w:rFonts w:ascii="宋体" w:hAnsi="宋体"/>
                <w:sz w:val="18"/>
                <w:szCs w:val="18"/>
              </w:rPr>
            </w:pPr>
            <w:r>
              <w:rPr>
                <w:rFonts w:ascii="宋体" w:hAnsi="宋体"/>
                <w:sz w:val="18"/>
                <w:szCs w:val="18"/>
              </w:rPr>
              <w:t xml:space="preserve">1.4443 </w:t>
            </w:r>
          </w:p>
        </w:tc>
        <w:tc>
          <w:tcPr>
            <w:tcW w:w="750" w:type="dxa"/>
            <w:noWrap/>
          </w:tcPr>
          <w:p w14:paraId="2269F19E">
            <w:pPr>
              <w:pStyle w:val="39"/>
              <w:rPr>
                <w:rFonts w:ascii="宋体" w:hAnsi="宋体"/>
                <w:sz w:val="18"/>
                <w:szCs w:val="18"/>
              </w:rPr>
            </w:pPr>
            <w:r>
              <w:rPr>
                <w:rFonts w:ascii="宋体" w:hAnsi="宋体"/>
                <w:sz w:val="18"/>
                <w:szCs w:val="18"/>
              </w:rPr>
              <w:t xml:space="preserve">1.3723 </w:t>
            </w:r>
          </w:p>
        </w:tc>
        <w:tc>
          <w:tcPr>
            <w:tcW w:w="750" w:type="dxa"/>
            <w:noWrap/>
          </w:tcPr>
          <w:p w14:paraId="5566F72B">
            <w:pPr>
              <w:pStyle w:val="39"/>
              <w:rPr>
                <w:rFonts w:ascii="宋体" w:hAnsi="宋体"/>
                <w:sz w:val="18"/>
                <w:szCs w:val="18"/>
              </w:rPr>
            </w:pPr>
            <w:r>
              <w:rPr>
                <w:rFonts w:ascii="宋体" w:hAnsi="宋体"/>
                <w:sz w:val="18"/>
                <w:szCs w:val="18"/>
              </w:rPr>
              <w:t xml:space="preserve">1.3092 </w:t>
            </w:r>
          </w:p>
        </w:tc>
        <w:tc>
          <w:tcPr>
            <w:tcW w:w="750" w:type="dxa"/>
            <w:noWrap/>
          </w:tcPr>
          <w:p w14:paraId="6A250303">
            <w:pPr>
              <w:pStyle w:val="39"/>
              <w:rPr>
                <w:rFonts w:ascii="宋体" w:hAnsi="宋体"/>
                <w:sz w:val="18"/>
                <w:szCs w:val="18"/>
              </w:rPr>
            </w:pPr>
            <w:r>
              <w:rPr>
                <w:rFonts w:ascii="宋体" w:hAnsi="宋体"/>
                <w:sz w:val="18"/>
                <w:szCs w:val="18"/>
              </w:rPr>
              <w:t xml:space="preserve">1.2538 </w:t>
            </w:r>
          </w:p>
        </w:tc>
        <w:tc>
          <w:tcPr>
            <w:tcW w:w="750" w:type="dxa"/>
            <w:noWrap/>
          </w:tcPr>
          <w:p w14:paraId="28F1747D">
            <w:pPr>
              <w:pStyle w:val="39"/>
              <w:rPr>
                <w:rFonts w:ascii="宋体" w:hAnsi="宋体"/>
                <w:sz w:val="18"/>
                <w:szCs w:val="18"/>
              </w:rPr>
            </w:pPr>
            <w:r>
              <w:rPr>
                <w:rFonts w:ascii="宋体" w:hAnsi="宋体"/>
                <w:sz w:val="18"/>
                <w:szCs w:val="18"/>
              </w:rPr>
              <w:t xml:space="preserve">1.2053 </w:t>
            </w:r>
          </w:p>
        </w:tc>
        <w:tc>
          <w:tcPr>
            <w:tcW w:w="750" w:type="dxa"/>
            <w:noWrap/>
          </w:tcPr>
          <w:p w14:paraId="520EB68D">
            <w:pPr>
              <w:pStyle w:val="39"/>
              <w:rPr>
                <w:rFonts w:ascii="宋体" w:hAnsi="宋体"/>
                <w:sz w:val="18"/>
                <w:szCs w:val="18"/>
              </w:rPr>
            </w:pPr>
            <w:r>
              <w:rPr>
                <w:rFonts w:ascii="宋体" w:hAnsi="宋体"/>
                <w:sz w:val="18"/>
                <w:szCs w:val="18"/>
              </w:rPr>
              <w:t xml:space="preserve">1.1630 </w:t>
            </w:r>
          </w:p>
        </w:tc>
      </w:tr>
      <w:tr w14:paraId="60D2B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1" w:type="dxa"/>
            <w:noWrap/>
          </w:tcPr>
          <w:p w14:paraId="17015C10">
            <w:pPr>
              <w:pStyle w:val="39"/>
              <w:rPr>
                <w:rFonts w:ascii="宋体" w:hAnsi="宋体"/>
                <w:sz w:val="18"/>
                <w:szCs w:val="18"/>
              </w:rPr>
            </w:pPr>
            <w:r>
              <w:rPr>
                <w:rFonts w:ascii="宋体" w:hAnsi="宋体"/>
                <w:sz w:val="18"/>
                <w:szCs w:val="18"/>
              </w:rPr>
              <w:t xml:space="preserve">0.95 </w:t>
            </w:r>
          </w:p>
        </w:tc>
        <w:tc>
          <w:tcPr>
            <w:tcW w:w="751" w:type="dxa"/>
            <w:noWrap/>
          </w:tcPr>
          <w:p w14:paraId="2A35928D">
            <w:pPr>
              <w:pStyle w:val="39"/>
              <w:rPr>
                <w:rFonts w:ascii="宋体" w:hAnsi="宋体"/>
                <w:sz w:val="18"/>
                <w:szCs w:val="18"/>
              </w:rPr>
            </w:pPr>
            <w:r>
              <w:rPr>
                <w:rFonts w:ascii="宋体" w:hAnsi="宋体"/>
                <w:sz w:val="18"/>
                <w:szCs w:val="18"/>
              </w:rPr>
              <w:t xml:space="preserve">2.0000 </w:t>
            </w:r>
          </w:p>
        </w:tc>
        <w:tc>
          <w:tcPr>
            <w:tcW w:w="751" w:type="dxa"/>
            <w:noWrap/>
          </w:tcPr>
          <w:p w14:paraId="644402A9">
            <w:pPr>
              <w:pStyle w:val="39"/>
              <w:rPr>
                <w:rFonts w:ascii="宋体" w:hAnsi="宋体"/>
                <w:sz w:val="18"/>
                <w:szCs w:val="18"/>
              </w:rPr>
            </w:pPr>
            <w:r>
              <w:rPr>
                <w:rFonts w:ascii="宋体" w:hAnsi="宋体"/>
                <w:sz w:val="18"/>
                <w:szCs w:val="18"/>
              </w:rPr>
              <w:t xml:space="preserve">1.8545 </w:t>
            </w:r>
          </w:p>
        </w:tc>
        <w:tc>
          <w:tcPr>
            <w:tcW w:w="751" w:type="dxa"/>
            <w:noWrap/>
          </w:tcPr>
          <w:p w14:paraId="20270CA0">
            <w:pPr>
              <w:pStyle w:val="39"/>
              <w:rPr>
                <w:rFonts w:ascii="宋体" w:hAnsi="宋体"/>
                <w:sz w:val="18"/>
                <w:szCs w:val="18"/>
              </w:rPr>
            </w:pPr>
            <w:r>
              <w:rPr>
                <w:rFonts w:ascii="宋体" w:hAnsi="宋体"/>
                <w:sz w:val="18"/>
                <w:szCs w:val="18"/>
              </w:rPr>
              <w:t xml:space="preserve">1.7292 </w:t>
            </w:r>
          </w:p>
        </w:tc>
        <w:tc>
          <w:tcPr>
            <w:tcW w:w="750" w:type="dxa"/>
            <w:noWrap/>
          </w:tcPr>
          <w:p w14:paraId="151C19F0">
            <w:pPr>
              <w:pStyle w:val="39"/>
              <w:rPr>
                <w:rFonts w:ascii="宋体" w:hAnsi="宋体"/>
                <w:sz w:val="18"/>
                <w:szCs w:val="18"/>
              </w:rPr>
            </w:pPr>
            <w:r>
              <w:rPr>
                <w:rFonts w:ascii="宋体" w:hAnsi="宋体"/>
                <w:sz w:val="18"/>
                <w:szCs w:val="18"/>
              </w:rPr>
              <w:t xml:space="preserve">1.6209 </w:t>
            </w:r>
          </w:p>
        </w:tc>
        <w:tc>
          <w:tcPr>
            <w:tcW w:w="750" w:type="dxa"/>
            <w:noWrap/>
          </w:tcPr>
          <w:p w14:paraId="721BCE6C">
            <w:pPr>
              <w:pStyle w:val="39"/>
              <w:rPr>
                <w:rFonts w:ascii="宋体" w:hAnsi="宋体"/>
                <w:sz w:val="18"/>
                <w:szCs w:val="18"/>
              </w:rPr>
            </w:pPr>
            <w:r>
              <w:rPr>
                <w:rFonts w:ascii="宋体" w:hAnsi="宋体"/>
                <w:sz w:val="18"/>
                <w:szCs w:val="18"/>
              </w:rPr>
              <w:t xml:space="preserve">1.5266 </w:t>
            </w:r>
          </w:p>
        </w:tc>
        <w:tc>
          <w:tcPr>
            <w:tcW w:w="750" w:type="dxa"/>
            <w:noWrap/>
          </w:tcPr>
          <w:p w14:paraId="2FCAF4F4">
            <w:pPr>
              <w:pStyle w:val="39"/>
              <w:rPr>
                <w:rFonts w:ascii="宋体" w:hAnsi="宋体"/>
                <w:sz w:val="18"/>
                <w:szCs w:val="18"/>
              </w:rPr>
            </w:pPr>
            <w:r>
              <w:rPr>
                <w:rFonts w:ascii="宋体" w:hAnsi="宋体"/>
                <w:sz w:val="18"/>
                <w:szCs w:val="18"/>
              </w:rPr>
              <w:t xml:space="preserve">1.4443 </w:t>
            </w:r>
          </w:p>
        </w:tc>
        <w:tc>
          <w:tcPr>
            <w:tcW w:w="750" w:type="dxa"/>
            <w:noWrap/>
          </w:tcPr>
          <w:p w14:paraId="182407E4">
            <w:pPr>
              <w:pStyle w:val="39"/>
              <w:rPr>
                <w:rFonts w:ascii="宋体" w:hAnsi="宋体"/>
                <w:sz w:val="18"/>
                <w:szCs w:val="18"/>
              </w:rPr>
            </w:pPr>
            <w:r>
              <w:rPr>
                <w:rFonts w:ascii="宋体" w:hAnsi="宋体"/>
                <w:sz w:val="18"/>
                <w:szCs w:val="18"/>
              </w:rPr>
              <w:t xml:space="preserve">1.3723 </w:t>
            </w:r>
          </w:p>
        </w:tc>
        <w:tc>
          <w:tcPr>
            <w:tcW w:w="750" w:type="dxa"/>
            <w:noWrap/>
          </w:tcPr>
          <w:p w14:paraId="394F61BD">
            <w:pPr>
              <w:pStyle w:val="39"/>
              <w:rPr>
                <w:rFonts w:ascii="宋体" w:hAnsi="宋体"/>
                <w:sz w:val="18"/>
                <w:szCs w:val="18"/>
              </w:rPr>
            </w:pPr>
            <w:r>
              <w:rPr>
                <w:rFonts w:ascii="宋体" w:hAnsi="宋体"/>
                <w:sz w:val="18"/>
                <w:szCs w:val="18"/>
              </w:rPr>
              <w:t xml:space="preserve">1.3092 </w:t>
            </w:r>
          </w:p>
        </w:tc>
        <w:tc>
          <w:tcPr>
            <w:tcW w:w="750" w:type="dxa"/>
            <w:noWrap/>
          </w:tcPr>
          <w:p w14:paraId="35655412">
            <w:pPr>
              <w:pStyle w:val="39"/>
              <w:rPr>
                <w:rFonts w:ascii="宋体" w:hAnsi="宋体"/>
                <w:sz w:val="18"/>
                <w:szCs w:val="18"/>
              </w:rPr>
            </w:pPr>
            <w:r>
              <w:rPr>
                <w:rFonts w:ascii="宋体" w:hAnsi="宋体"/>
                <w:sz w:val="18"/>
                <w:szCs w:val="18"/>
              </w:rPr>
              <w:t xml:space="preserve">1.2538 </w:t>
            </w:r>
          </w:p>
        </w:tc>
        <w:tc>
          <w:tcPr>
            <w:tcW w:w="750" w:type="dxa"/>
            <w:noWrap/>
          </w:tcPr>
          <w:p w14:paraId="0B570A2A">
            <w:pPr>
              <w:pStyle w:val="39"/>
              <w:rPr>
                <w:rFonts w:ascii="宋体" w:hAnsi="宋体"/>
                <w:sz w:val="18"/>
                <w:szCs w:val="18"/>
              </w:rPr>
            </w:pPr>
            <w:r>
              <w:rPr>
                <w:rFonts w:ascii="宋体" w:hAnsi="宋体"/>
                <w:sz w:val="18"/>
                <w:szCs w:val="18"/>
              </w:rPr>
              <w:t xml:space="preserve">1.2053 </w:t>
            </w:r>
          </w:p>
        </w:tc>
        <w:tc>
          <w:tcPr>
            <w:tcW w:w="750" w:type="dxa"/>
            <w:noWrap/>
          </w:tcPr>
          <w:p w14:paraId="252D95A5">
            <w:pPr>
              <w:pStyle w:val="39"/>
              <w:rPr>
                <w:rFonts w:ascii="宋体" w:hAnsi="宋体"/>
                <w:sz w:val="18"/>
                <w:szCs w:val="18"/>
              </w:rPr>
            </w:pPr>
            <w:r>
              <w:rPr>
                <w:rFonts w:ascii="宋体" w:hAnsi="宋体"/>
                <w:sz w:val="18"/>
                <w:szCs w:val="18"/>
              </w:rPr>
              <w:t xml:space="preserve">1.1630 </w:t>
            </w:r>
          </w:p>
        </w:tc>
      </w:tr>
      <w:tr w14:paraId="724E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1" w:type="dxa"/>
            <w:noWrap/>
          </w:tcPr>
          <w:p w14:paraId="0DE154AB">
            <w:pPr>
              <w:pStyle w:val="39"/>
              <w:rPr>
                <w:rFonts w:ascii="宋体" w:hAnsi="宋体"/>
                <w:sz w:val="18"/>
                <w:szCs w:val="18"/>
              </w:rPr>
            </w:pPr>
            <w:r>
              <w:rPr>
                <w:rFonts w:ascii="宋体" w:hAnsi="宋体"/>
                <w:sz w:val="18"/>
                <w:szCs w:val="18"/>
              </w:rPr>
              <w:t xml:space="preserve">1.00 </w:t>
            </w:r>
          </w:p>
        </w:tc>
        <w:tc>
          <w:tcPr>
            <w:tcW w:w="751" w:type="dxa"/>
            <w:noWrap/>
          </w:tcPr>
          <w:p w14:paraId="1879E144">
            <w:pPr>
              <w:pStyle w:val="39"/>
              <w:rPr>
                <w:rFonts w:ascii="宋体" w:hAnsi="宋体"/>
                <w:sz w:val="18"/>
                <w:szCs w:val="18"/>
              </w:rPr>
            </w:pPr>
            <w:r>
              <w:rPr>
                <w:rFonts w:ascii="宋体" w:hAnsi="宋体"/>
                <w:sz w:val="18"/>
                <w:szCs w:val="18"/>
              </w:rPr>
              <w:t xml:space="preserve">2.0000 </w:t>
            </w:r>
          </w:p>
        </w:tc>
        <w:tc>
          <w:tcPr>
            <w:tcW w:w="751" w:type="dxa"/>
            <w:noWrap/>
          </w:tcPr>
          <w:p w14:paraId="16C3A993">
            <w:pPr>
              <w:pStyle w:val="39"/>
              <w:rPr>
                <w:rFonts w:ascii="宋体" w:hAnsi="宋体"/>
                <w:sz w:val="18"/>
                <w:szCs w:val="18"/>
              </w:rPr>
            </w:pPr>
            <w:r>
              <w:rPr>
                <w:rFonts w:ascii="宋体" w:hAnsi="宋体"/>
                <w:sz w:val="18"/>
                <w:szCs w:val="18"/>
              </w:rPr>
              <w:t xml:space="preserve">1.8545 </w:t>
            </w:r>
          </w:p>
        </w:tc>
        <w:tc>
          <w:tcPr>
            <w:tcW w:w="751" w:type="dxa"/>
            <w:noWrap/>
          </w:tcPr>
          <w:p w14:paraId="6B4D24E5">
            <w:pPr>
              <w:pStyle w:val="39"/>
              <w:rPr>
                <w:rFonts w:ascii="宋体" w:hAnsi="宋体"/>
                <w:sz w:val="18"/>
                <w:szCs w:val="18"/>
              </w:rPr>
            </w:pPr>
            <w:r>
              <w:rPr>
                <w:rFonts w:ascii="宋体" w:hAnsi="宋体"/>
                <w:sz w:val="18"/>
                <w:szCs w:val="18"/>
              </w:rPr>
              <w:t xml:space="preserve">1.7292 </w:t>
            </w:r>
          </w:p>
        </w:tc>
        <w:tc>
          <w:tcPr>
            <w:tcW w:w="750" w:type="dxa"/>
            <w:noWrap/>
          </w:tcPr>
          <w:p w14:paraId="098D63C0">
            <w:pPr>
              <w:pStyle w:val="39"/>
              <w:rPr>
                <w:rFonts w:ascii="宋体" w:hAnsi="宋体"/>
                <w:sz w:val="18"/>
                <w:szCs w:val="18"/>
              </w:rPr>
            </w:pPr>
            <w:r>
              <w:rPr>
                <w:rFonts w:ascii="宋体" w:hAnsi="宋体"/>
                <w:sz w:val="18"/>
                <w:szCs w:val="18"/>
              </w:rPr>
              <w:t xml:space="preserve">1.6209 </w:t>
            </w:r>
          </w:p>
        </w:tc>
        <w:tc>
          <w:tcPr>
            <w:tcW w:w="750" w:type="dxa"/>
            <w:noWrap/>
          </w:tcPr>
          <w:p w14:paraId="10386849">
            <w:pPr>
              <w:pStyle w:val="39"/>
              <w:rPr>
                <w:rFonts w:ascii="宋体" w:hAnsi="宋体"/>
                <w:sz w:val="18"/>
                <w:szCs w:val="18"/>
              </w:rPr>
            </w:pPr>
            <w:r>
              <w:rPr>
                <w:rFonts w:ascii="宋体" w:hAnsi="宋体"/>
                <w:sz w:val="18"/>
                <w:szCs w:val="18"/>
              </w:rPr>
              <w:t xml:space="preserve">1.5266 </w:t>
            </w:r>
          </w:p>
        </w:tc>
        <w:tc>
          <w:tcPr>
            <w:tcW w:w="750" w:type="dxa"/>
            <w:noWrap/>
          </w:tcPr>
          <w:p w14:paraId="5F058073">
            <w:pPr>
              <w:pStyle w:val="39"/>
              <w:rPr>
                <w:rFonts w:ascii="宋体" w:hAnsi="宋体"/>
                <w:sz w:val="18"/>
                <w:szCs w:val="18"/>
              </w:rPr>
            </w:pPr>
            <w:r>
              <w:rPr>
                <w:rFonts w:ascii="宋体" w:hAnsi="宋体"/>
                <w:sz w:val="18"/>
                <w:szCs w:val="18"/>
              </w:rPr>
              <w:t xml:space="preserve">1.4443 </w:t>
            </w:r>
          </w:p>
        </w:tc>
        <w:tc>
          <w:tcPr>
            <w:tcW w:w="750" w:type="dxa"/>
            <w:noWrap/>
          </w:tcPr>
          <w:p w14:paraId="711DA400">
            <w:pPr>
              <w:pStyle w:val="39"/>
              <w:rPr>
                <w:rFonts w:ascii="宋体" w:hAnsi="宋体"/>
                <w:sz w:val="18"/>
                <w:szCs w:val="18"/>
              </w:rPr>
            </w:pPr>
            <w:r>
              <w:rPr>
                <w:rFonts w:ascii="宋体" w:hAnsi="宋体"/>
                <w:sz w:val="18"/>
                <w:szCs w:val="18"/>
              </w:rPr>
              <w:t xml:space="preserve">1.3723 </w:t>
            </w:r>
          </w:p>
        </w:tc>
        <w:tc>
          <w:tcPr>
            <w:tcW w:w="750" w:type="dxa"/>
            <w:noWrap/>
          </w:tcPr>
          <w:p w14:paraId="1929873E">
            <w:pPr>
              <w:pStyle w:val="39"/>
              <w:rPr>
                <w:rFonts w:ascii="宋体" w:hAnsi="宋体"/>
                <w:sz w:val="18"/>
                <w:szCs w:val="18"/>
              </w:rPr>
            </w:pPr>
            <w:r>
              <w:rPr>
                <w:rFonts w:ascii="宋体" w:hAnsi="宋体"/>
                <w:sz w:val="18"/>
                <w:szCs w:val="18"/>
              </w:rPr>
              <w:t xml:space="preserve">1.3092 </w:t>
            </w:r>
          </w:p>
        </w:tc>
        <w:tc>
          <w:tcPr>
            <w:tcW w:w="750" w:type="dxa"/>
            <w:noWrap/>
          </w:tcPr>
          <w:p w14:paraId="69361715">
            <w:pPr>
              <w:pStyle w:val="39"/>
              <w:rPr>
                <w:rFonts w:ascii="宋体" w:hAnsi="宋体"/>
                <w:sz w:val="18"/>
                <w:szCs w:val="18"/>
              </w:rPr>
            </w:pPr>
            <w:r>
              <w:rPr>
                <w:rFonts w:ascii="宋体" w:hAnsi="宋体"/>
                <w:sz w:val="18"/>
                <w:szCs w:val="18"/>
              </w:rPr>
              <w:t xml:space="preserve">1.2538 </w:t>
            </w:r>
          </w:p>
        </w:tc>
        <w:tc>
          <w:tcPr>
            <w:tcW w:w="750" w:type="dxa"/>
            <w:noWrap/>
          </w:tcPr>
          <w:p w14:paraId="5B207E5B">
            <w:pPr>
              <w:pStyle w:val="39"/>
              <w:rPr>
                <w:rFonts w:ascii="宋体" w:hAnsi="宋体"/>
                <w:sz w:val="18"/>
                <w:szCs w:val="18"/>
              </w:rPr>
            </w:pPr>
            <w:r>
              <w:rPr>
                <w:rFonts w:ascii="宋体" w:hAnsi="宋体"/>
                <w:sz w:val="18"/>
                <w:szCs w:val="18"/>
              </w:rPr>
              <w:t xml:space="preserve">1.2053 </w:t>
            </w:r>
          </w:p>
        </w:tc>
        <w:tc>
          <w:tcPr>
            <w:tcW w:w="750" w:type="dxa"/>
            <w:noWrap/>
          </w:tcPr>
          <w:p w14:paraId="089C6152">
            <w:pPr>
              <w:pStyle w:val="39"/>
              <w:rPr>
                <w:rFonts w:ascii="宋体" w:hAnsi="宋体"/>
                <w:sz w:val="18"/>
                <w:szCs w:val="18"/>
              </w:rPr>
            </w:pPr>
            <w:r>
              <w:rPr>
                <w:rFonts w:ascii="宋体" w:hAnsi="宋体"/>
                <w:sz w:val="18"/>
                <w:szCs w:val="18"/>
              </w:rPr>
              <w:t xml:space="preserve">1.1630 </w:t>
            </w:r>
          </w:p>
        </w:tc>
      </w:tr>
    </w:tbl>
    <w:p w14:paraId="412ED112">
      <w:pPr>
        <w:spacing w:before="156"/>
        <w:ind w:firstLine="480"/>
        <w:jc w:val="center"/>
        <w:rPr>
          <w:rFonts w:cs="Times New Roman"/>
          <w:szCs w:val="21"/>
        </w:rPr>
      </w:pPr>
    </w:p>
    <w:p w14:paraId="3C176C7E">
      <w:pPr>
        <w:pStyle w:val="39"/>
      </w:pPr>
      <w:r>
        <w:t>表B.0.2-4正弦半波脉冲的</w:t>
      </w:r>
      <w:r>
        <w:rPr>
          <w:i/>
        </w:rPr>
        <w:t>η</w:t>
      </w:r>
      <w:r>
        <w:rPr>
          <w:vertAlign w:val="subscript"/>
        </w:rPr>
        <w:t>max</w:t>
      </w:r>
      <w:r>
        <w:t>值</w:t>
      </w:r>
    </w:p>
    <w:tbl>
      <w:tblPr>
        <w:tblStyle w:val="32"/>
        <w:tblW w:w="89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756"/>
        <w:gridCol w:w="756"/>
        <w:gridCol w:w="756"/>
        <w:gridCol w:w="756"/>
        <w:gridCol w:w="756"/>
        <w:gridCol w:w="756"/>
        <w:gridCol w:w="756"/>
        <w:gridCol w:w="756"/>
        <w:gridCol w:w="756"/>
        <w:gridCol w:w="756"/>
        <w:gridCol w:w="756"/>
      </w:tblGrid>
      <w:tr w14:paraId="20271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45" w:type="dxa"/>
            <w:tcBorders>
              <w:tl2br w:val="single" w:color="auto" w:sz="4" w:space="0"/>
            </w:tcBorders>
            <w:noWrap/>
          </w:tcPr>
          <w:p w14:paraId="69A9E627">
            <w:pPr>
              <w:pStyle w:val="39"/>
              <w:rPr>
                <w:rFonts w:ascii="宋体" w:hAnsi="宋体"/>
                <w:sz w:val="18"/>
                <w:szCs w:val="18"/>
              </w:rPr>
            </w:pPr>
            <w:r>
              <w:rPr>
                <w:rFonts w:ascii="宋体" w:hAnsi="宋体"/>
                <w:sz w:val="18"/>
                <w:szCs w:val="18"/>
              </w:rPr>
              <w:t>ζ</w:t>
            </w:r>
          </w:p>
          <w:p w14:paraId="35EF51D7">
            <w:pPr>
              <w:pStyle w:val="39"/>
              <w:rPr>
                <w:rFonts w:ascii="宋体" w:hAnsi="宋体"/>
                <w:sz w:val="18"/>
                <w:szCs w:val="18"/>
              </w:rPr>
            </w:pPr>
            <w:r>
              <w:rPr>
                <w:rFonts w:ascii="宋体" w:hAnsi="宋体"/>
                <w:sz w:val="18"/>
                <w:szCs w:val="18"/>
              </w:rPr>
              <w:t>t</w:t>
            </w:r>
            <w:r>
              <w:rPr>
                <w:rFonts w:ascii="宋体" w:hAnsi="宋体"/>
                <w:sz w:val="18"/>
                <w:szCs w:val="18"/>
                <w:vertAlign w:val="subscript"/>
              </w:rPr>
              <w:t>o</w:t>
            </w:r>
            <w:r>
              <w:rPr>
                <w:rFonts w:ascii="宋体" w:hAnsi="宋体"/>
                <w:sz w:val="18"/>
                <w:szCs w:val="18"/>
              </w:rPr>
              <w:t>/T</w:t>
            </w:r>
            <w:r>
              <w:rPr>
                <w:rFonts w:ascii="宋体" w:hAnsi="宋体"/>
                <w:sz w:val="18"/>
                <w:szCs w:val="18"/>
                <w:vertAlign w:val="subscript"/>
              </w:rPr>
              <w:t>n</w:t>
            </w:r>
          </w:p>
        </w:tc>
        <w:tc>
          <w:tcPr>
            <w:tcW w:w="745" w:type="dxa"/>
            <w:noWrap/>
            <w:vAlign w:val="center"/>
          </w:tcPr>
          <w:p w14:paraId="39237F9F">
            <w:pPr>
              <w:pStyle w:val="39"/>
              <w:rPr>
                <w:rFonts w:ascii="宋体" w:hAnsi="宋体"/>
                <w:sz w:val="18"/>
                <w:szCs w:val="18"/>
              </w:rPr>
            </w:pPr>
            <w:r>
              <w:rPr>
                <w:rFonts w:ascii="宋体" w:hAnsi="宋体"/>
                <w:sz w:val="18"/>
                <w:szCs w:val="18"/>
              </w:rPr>
              <w:t>0.00</w:t>
            </w:r>
          </w:p>
        </w:tc>
        <w:tc>
          <w:tcPr>
            <w:tcW w:w="745" w:type="dxa"/>
            <w:noWrap/>
            <w:vAlign w:val="center"/>
          </w:tcPr>
          <w:p w14:paraId="21E3BA6D">
            <w:pPr>
              <w:pStyle w:val="39"/>
              <w:rPr>
                <w:rFonts w:ascii="宋体" w:hAnsi="宋体"/>
                <w:sz w:val="18"/>
                <w:szCs w:val="18"/>
              </w:rPr>
            </w:pPr>
            <w:r>
              <w:rPr>
                <w:rFonts w:ascii="宋体" w:hAnsi="宋体"/>
                <w:sz w:val="18"/>
                <w:szCs w:val="18"/>
              </w:rPr>
              <w:t>0.05</w:t>
            </w:r>
          </w:p>
        </w:tc>
        <w:tc>
          <w:tcPr>
            <w:tcW w:w="745" w:type="dxa"/>
            <w:noWrap/>
            <w:vAlign w:val="center"/>
          </w:tcPr>
          <w:p w14:paraId="38739BE6">
            <w:pPr>
              <w:pStyle w:val="39"/>
              <w:rPr>
                <w:rFonts w:ascii="宋体" w:hAnsi="宋体"/>
                <w:sz w:val="18"/>
                <w:szCs w:val="18"/>
              </w:rPr>
            </w:pPr>
            <w:r>
              <w:rPr>
                <w:rFonts w:ascii="宋体" w:hAnsi="宋体"/>
                <w:sz w:val="18"/>
                <w:szCs w:val="18"/>
              </w:rPr>
              <w:t>0.10</w:t>
            </w:r>
          </w:p>
        </w:tc>
        <w:tc>
          <w:tcPr>
            <w:tcW w:w="744" w:type="dxa"/>
            <w:noWrap/>
            <w:vAlign w:val="center"/>
          </w:tcPr>
          <w:p w14:paraId="46309827">
            <w:pPr>
              <w:pStyle w:val="39"/>
              <w:rPr>
                <w:rFonts w:ascii="宋体" w:hAnsi="宋体"/>
                <w:sz w:val="18"/>
                <w:szCs w:val="18"/>
              </w:rPr>
            </w:pPr>
            <w:r>
              <w:rPr>
                <w:rFonts w:ascii="宋体" w:hAnsi="宋体"/>
                <w:sz w:val="18"/>
                <w:szCs w:val="18"/>
              </w:rPr>
              <w:t>0.15</w:t>
            </w:r>
          </w:p>
        </w:tc>
        <w:tc>
          <w:tcPr>
            <w:tcW w:w="744" w:type="dxa"/>
            <w:noWrap/>
            <w:vAlign w:val="center"/>
          </w:tcPr>
          <w:p w14:paraId="5149E297">
            <w:pPr>
              <w:pStyle w:val="39"/>
              <w:rPr>
                <w:rFonts w:ascii="宋体" w:hAnsi="宋体"/>
                <w:sz w:val="18"/>
                <w:szCs w:val="18"/>
              </w:rPr>
            </w:pPr>
            <w:r>
              <w:rPr>
                <w:rFonts w:ascii="宋体" w:hAnsi="宋体"/>
                <w:sz w:val="18"/>
                <w:szCs w:val="18"/>
              </w:rPr>
              <w:t>0.20</w:t>
            </w:r>
          </w:p>
        </w:tc>
        <w:tc>
          <w:tcPr>
            <w:tcW w:w="744" w:type="dxa"/>
            <w:noWrap/>
            <w:vAlign w:val="center"/>
          </w:tcPr>
          <w:p w14:paraId="1A868D34">
            <w:pPr>
              <w:pStyle w:val="39"/>
              <w:rPr>
                <w:rFonts w:ascii="宋体" w:hAnsi="宋体"/>
                <w:sz w:val="18"/>
                <w:szCs w:val="18"/>
              </w:rPr>
            </w:pPr>
            <w:r>
              <w:rPr>
                <w:rFonts w:ascii="宋体" w:hAnsi="宋体"/>
                <w:sz w:val="18"/>
                <w:szCs w:val="18"/>
              </w:rPr>
              <w:t>0.25</w:t>
            </w:r>
          </w:p>
        </w:tc>
        <w:tc>
          <w:tcPr>
            <w:tcW w:w="744" w:type="dxa"/>
            <w:noWrap/>
            <w:vAlign w:val="center"/>
          </w:tcPr>
          <w:p w14:paraId="36E3CF45">
            <w:pPr>
              <w:pStyle w:val="39"/>
              <w:rPr>
                <w:rFonts w:ascii="宋体" w:hAnsi="宋体"/>
                <w:sz w:val="18"/>
                <w:szCs w:val="18"/>
              </w:rPr>
            </w:pPr>
            <w:r>
              <w:rPr>
                <w:rFonts w:ascii="宋体" w:hAnsi="宋体"/>
                <w:sz w:val="18"/>
                <w:szCs w:val="18"/>
              </w:rPr>
              <w:t>0.30</w:t>
            </w:r>
          </w:p>
        </w:tc>
        <w:tc>
          <w:tcPr>
            <w:tcW w:w="744" w:type="dxa"/>
            <w:noWrap/>
            <w:vAlign w:val="center"/>
          </w:tcPr>
          <w:p w14:paraId="5C935990">
            <w:pPr>
              <w:pStyle w:val="39"/>
              <w:rPr>
                <w:rFonts w:ascii="宋体" w:hAnsi="宋体"/>
                <w:sz w:val="18"/>
                <w:szCs w:val="18"/>
              </w:rPr>
            </w:pPr>
            <w:r>
              <w:rPr>
                <w:rFonts w:ascii="宋体" w:hAnsi="宋体"/>
                <w:sz w:val="18"/>
                <w:szCs w:val="18"/>
              </w:rPr>
              <w:t>0.35</w:t>
            </w:r>
          </w:p>
        </w:tc>
        <w:tc>
          <w:tcPr>
            <w:tcW w:w="744" w:type="dxa"/>
            <w:noWrap/>
            <w:vAlign w:val="center"/>
          </w:tcPr>
          <w:p w14:paraId="1BDFDECD">
            <w:pPr>
              <w:pStyle w:val="39"/>
              <w:rPr>
                <w:rFonts w:ascii="宋体" w:hAnsi="宋体"/>
                <w:sz w:val="18"/>
                <w:szCs w:val="18"/>
              </w:rPr>
            </w:pPr>
            <w:r>
              <w:rPr>
                <w:rFonts w:ascii="宋体" w:hAnsi="宋体"/>
                <w:sz w:val="18"/>
                <w:szCs w:val="18"/>
              </w:rPr>
              <w:t>0.40</w:t>
            </w:r>
          </w:p>
        </w:tc>
        <w:tc>
          <w:tcPr>
            <w:tcW w:w="744" w:type="dxa"/>
            <w:noWrap/>
            <w:vAlign w:val="center"/>
          </w:tcPr>
          <w:p w14:paraId="7673311E">
            <w:pPr>
              <w:pStyle w:val="39"/>
              <w:rPr>
                <w:rFonts w:ascii="宋体" w:hAnsi="宋体"/>
                <w:sz w:val="18"/>
                <w:szCs w:val="18"/>
              </w:rPr>
            </w:pPr>
            <w:r>
              <w:rPr>
                <w:rFonts w:ascii="宋体" w:hAnsi="宋体"/>
                <w:sz w:val="18"/>
                <w:szCs w:val="18"/>
              </w:rPr>
              <w:t>0.45</w:t>
            </w:r>
          </w:p>
        </w:tc>
        <w:tc>
          <w:tcPr>
            <w:tcW w:w="744" w:type="dxa"/>
            <w:noWrap/>
            <w:vAlign w:val="center"/>
          </w:tcPr>
          <w:p w14:paraId="3C303326">
            <w:pPr>
              <w:pStyle w:val="39"/>
              <w:rPr>
                <w:rFonts w:ascii="宋体" w:hAnsi="宋体"/>
                <w:sz w:val="18"/>
                <w:szCs w:val="18"/>
              </w:rPr>
            </w:pPr>
            <w:r>
              <w:rPr>
                <w:rFonts w:ascii="宋体" w:hAnsi="宋体"/>
                <w:sz w:val="18"/>
                <w:szCs w:val="18"/>
              </w:rPr>
              <w:t>0.50</w:t>
            </w:r>
          </w:p>
        </w:tc>
      </w:tr>
      <w:tr w14:paraId="78CCC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45" w:type="dxa"/>
            <w:noWrap/>
          </w:tcPr>
          <w:p w14:paraId="17C38171">
            <w:pPr>
              <w:pStyle w:val="39"/>
              <w:rPr>
                <w:rFonts w:ascii="宋体" w:hAnsi="宋体"/>
                <w:sz w:val="18"/>
                <w:szCs w:val="18"/>
              </w:rPr>
            </w:pPr>
            <w:r>
              <w:rPr>
                <w:rFonts w:ascii="宋体" w:hAnsi="宋体"/>
                <w:sz w:val="18"/>
                <w:szCs w:val="18"/>
              </w:rPr>
              <w:t xml:space="preserve">0.05 </w:t>
            </w:r>
          </w:p>
        </w:tc>
        <w:tc>
          <w:tcPr>
            <w:tcW w:w="745" w:type="dxa"/>
            <w:noWrap/>
          </w:tcPr>
          <w:p w14:paraId="4249885E">
            <w:pPr>
              <w:pStyle w:val="39"/>
              <w:rPr>
                <w:rFonts w:ascii="宋体" w:hAnsi="宋体"/>
                <w:sz w:val="18"/>
                <w:szCs w:val="18"/>
              </w:rPr>
            </w:pPr>
            <w:r>
              <w:rPr>
                <w:rFonts w:ascii="宋体" w:hAnsi="宋体"/>
                <w:sz w:val="18"/>
                <w:szCs w:val="18"/>
              </w:rPr>
              <w:t xml:space="preserve">0.1995 </w:t>
            </w:r>
          </w:p>
        </w:tc>
        <w:tc>
          <w:tcPr>
            <w:tcW w:w="745" w:type="dxa"/>
            <w:noWrap/>
          </w:tcPr>
          <w:p w14:paraId="1A016075">
            <w:pPr>
              <w:pStyle w:val="39"/>
              <w:rPr>
                <w:rFonts w:ascii="宋体" w:hAnsi="宋体"/>
                <w:sz w:val="18"/>
                <w:szCs w:val="18"/>
              </w:rPr>
            </w:pPr>
            <w:r>
              <w:rPr>
                <w:rFonts w:ascii="宋体" w:hAnsi="宋体"/>
                <w:sz w:val="18"/>
                <w:szCs w:val="18"/>
              </w:rPr>
              <w:t xml:space="preserve">0.1849 </w:t>
            </w:r>
          </w:p>
        </w:tc>
        <w:tc>
          <w:tcPr>
            <w:tcW w:w="745" w:type="dxa"/>
            <w:noWrap/>
          </w:tcPr>
          <w:p w14:paraId="41DE27F8">
            <w:pPr>
              <w:pStyle w:val="39"/>
              <w:rPr>
                <w:rFonts w:ascii="宋体" w:hAnsi="宋体"/>
                <w:sz w:val="18"/>
                <w:szCs w:val="18"/>
              </w:rPr>
            </w:pPr>
            <w:r>
              <w:rPr>
                <w:rFonts w:ascii="宋体" w:hAnsi="宋体"/>
                <w:sz w:val="18"/>
                <w:szCs w:val="18"/>
              </w:rPr>
              <w:t xml:space="preserve">0.1721 </w:t>
            </w:r>
          </w:p>
        </w:tc>
        <w:tc>
          <w:tcPr>
            <w:tcW w:w="744" w:type="dxa"/>
            <w:noWrap/>
          </w:tcPr>
          <w:p w14:paraId="02B0292B">
            <w:pPr>
              <w:pStyle w:val="39"/>
              <w:rPr>
                <w:rFonts w:ascii="宋体" w:hAnsi="宋体"/>
                <w:sz w:val="18"/>
                <w:szCs w:val="18"/>
              </w:rPr>
            </w:pPr>
            <w:r>
              <w:rPr>
                <w:rFonts w:ascii="宋体" w:hAnsi="宋体"/>
                <w:sz w:val="18"/>
                <w:szCs w:val="18"/>
              </w:rPr>
              <w:t xml:space="preserve">0.1609 </w:t>
            </w:r>
          </w:p>
        </w:tc>
        <w:tc>
          <w:tcPr>
            <w:tcW w:w="744" w:type="dxa"/>
            <w:noWrap/>
          </w:tcPr>
          <w:p w14:paraId="3B280274">
            <w:pPr>
              <w:pStyle w:val="39"/>
              <w:rPr>
                <w:rFonts w:ascii="宋体" w:hAnsi="宋体"/>
                <w:sz w:val="18"/>
                <w:szCs w:val="18"/>
              </w:rPr>
            </w:pPr>
            <w:r>
              <w:rPr>
                <w:rFonts w:ascii="宋体" w:hAnsi="宋体"/>
                <w:sz w:val="18"/>
                <w:szCs w:val="18"/>
              </w:rPr>
              <w:t xml:space="preserve">0.1509 </w:t>
            </w:r>
          </w:p>
        </w:tc>
        <w:tc>
          <w:tcPr>
            <w:tcW w:w="744" w:type="dxa"/>
            <w:noWrap/>
          </w:tcPr>
          <w:p w14:paraId="08F2FFF3">
            <w:pPr>
              <w:pStyle w:val="39"/>
              <w:rPr>
                <w:rFonts w:ascii="宋体" w:hAnsi="宋体"/>
                <w:sz w:val="18"/>
                <w:szCs w:val="18"/>
              </w:rPr>
            </w:pPr>
            <w:r>
              <w:rPr>
                <w:rFonts w:ascii="宋体" w:hAnsi="宋体"/>
                <w:sz w:val="18"/>
                <w:szCs w:val="18"/>
              </w:rPr>
              <w:t xml:space="preserve">0.1420 </w:t>
            </w:r>
          </w:p>
        </w:tc>
        <w:tc>
          <w:tcPr>
            <w:tcW w:w="744" w:type="dxa"/>
            <w:noWrap/>
          </w:tcPr>
          <w:p w14:paraId="6D51D5A8">
            <w:pPr>
              <w:pStyle w:val="39"/>
              <w:rPr>
                <w:rFonts w:ascii="宋体" w:hAnsi="宋体"/>
                <w:sz w:val="18"/>
                <w:szCs w:val="18"/>
              </w:rPr>
            </w:pPr>
            <w:r>
              <w:rPr>
                <w:rFonts w:ascii="宋体" w:hAnsi="宋体"/>
                <w:sz w:val="18"/>
                <w:szCs w:val="18"/>
              </w:rPr>
              <w:t xml:space="preserve">0.1340 </w:t>
            </w:r>
          </w:p>
        </w:tc>
        <w:tc>
          <w:tcPr>
            <w:tcW w:w="744" w:type="dxa"/>
            <w:noWrap/>
          </w:tcPr>
          <w:p w14:paraId="777E79B3">
            <w:pPr>
              <w:pStyle w:val="39"/>
              <w:rPr>
                <w:rFonts w:ascii="宋体" w:hAnsi="宋体"/>
                <w:sz w:val="18"/>
                <w:szCs w:val="18"/>
              </w:rPr>
            </w:pPr>
            <w:r>
              <w:rPr>
                <w:rFonts w:ascii="宋体" w:hAnsi="宋体"/>
                <w:sz w:val="18"/>
                <w:szCs w:val="18"/>
              </w:rPr>
              <w:t xml:space="preserve">0.1268 </w:t>
            </w:r>
          </w:p>
        </w:tc>
        <w:tc>
          <w:tcPr>
            <w:tcW w:w="744" w:type="dxa"/>
            <w:noWrap/>
          </w:tcPr>
          <w:p w14:paraId="4A0FC8FB">
            <w:pPr>
              <w:pStyle w:val="39"/>
              <w:rPr>
                <w:rFonts w:ascii="宋体" w:hAnsi="宋体"/>
                <w:sz w:val="18"/>
                <w:szCs w:val="18"/>
              </w:rPr>
            </w:pPr>
            <w:r>
              <w:rPr>
                <w:rFonts w:ascii="宋体" w:hAnsi="宋体"/>
                <w:sz w:val="18"/>
                <w:szCs w:val="18"/>
              </w:rPr>
              <w:t xml:space="preserve">0.1203 </w:t>
            </w:r>
          </w:p>
        </w:tc>
        <w:tc>
          <w:tcPr>
            <w:tcW w:w="744" w:type="dxa"/>
            <w:noWrap/>
          </w:tcPr>
          <w:p w14:paraId="5A9E0FE3">
            <w:pPr>
              <w:pStyle w:val="39"/>
              <w:rPr>
                <w:rFonts w:ascii="宋体" w:hAnsi="宋体"/>
                <w:sz w:val="18"/>
                <w:szCs w:val="18"/>
              </w:rPr>
            </w:pPr>
            <w:r>
              <w:rPr>
                <w:rFonts w:ascii="宋体" w:hAnsi="宋体"/>
                <w:sz w:val="18"/>
                <w:szCs w:val="18"/>
              </w:rPr>
              <w:t xml:space="preserve">0.1144 </w:t>
            </w:r>
          </w:p>
        </w:tc>
        <w:tc>
          <w:tcPr>
            <w:tcW w:w="744" w:type="dxa"/>
            <w:noWrap/>
          </w:tcPr>
          <w:p w14:paraId="7CD454F9">
            <w:pPr>
              <w:pStyle w:val="39"/>
              <w:rPr>
                <w:rFonts w:ascii="宋体" w:hAnsi="宋体"/>
                <w:sz w:val="18"/>
                <w:szCs w:val="18"/>
              </w:rPr>
            </w:pPr>
            <w:r>
              <w:rPr>
                <w:rFonts w:ascii="宋体" w:hAnsi="宋体"/>
                <w:sz w:val="18"/>
                <w:szCs w:val="18"/>
              </w:rPr>
              <w:t xml:space="preserve">0.1090 </w:t>
            </w:r>
          </w:p>
        </w:tc>
      </w:tr>
      <w:tr w14:paraId="4EEAF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45" w:type="dxa"/>
            <w:noWrap/>
          </w:tcPr>
          <w:p w14:paraId="633B3DD5">
            <w:pPr>
              <w:pStyle w:val="39"/>
              <w:rPr>
                <w:rFonts w:ascii="宋体" w:hAnsi="宋体"/>
                <w:sz w:val="18"/>
                <w:szCs w:val="18"/>
              </w:rPr>
            </w:pPr>
            <w:r>
              <w:rPr>
                <w:rFonts w:ascii="宋体" w:hAnsi="宋体"/>
                <w:sz w:val="18"/>
                <w:szCs w:val="18"/>
              </w:rPr>
              <w:t xml:space="preserve">0.10 </w:t>
            </w:r>
          </w:p>
        </w:tc>
        <w:tc>
          <w:tcPr>
            <w:tcW w:w="745" w:type="dxa"/>
            <w:noWrap/>
          </w:tcPr>
          <w:p w14:paraId="72BFFC01">
            <w:pPr>
              <w:pStyle w:val="39"/>
              <w:rPr>
                <w:rFonts w:ascii="宋体" w:hAnsi="宋体"/>
                <w:sz w:val="18"/>
                <w:szCs w:val="18"/>
              </w:rPr>
            </w:pPr>
            <w:r>
              <w:rPr>
                <w:rFonts w:ascii="宋体" w:hAnsi="宋体"/>
                <w:sz w:val="18"/>
                <w:szCs w:val="18"/>
              </w:rPr>
              <w:t xml:space="preserve">0.3963 </w:t>
            </w:r>
          </w:p>
        </w:tc>
        <w:tc>
          <w:tcPr>
            <w:tcW w:w="745" w:type="dxa"/>
            <w:noWrap/>
          </w:tcPr>
          <w:p w14:paraId="4A339438">
            <w:pPr>
              <w:pStyle w:val="39"/>
              <w:rPr>
                <w:rFonts w:ascii="宋体" w:hAnsi="宋体"/>
                <w:sz w:val="18"/>
                <w:szCs w:val="18"/>
              </w:rPr>
            </w:pPr>
            <w:r>
              <w:rPr>
                <w:rFonts w:ascii="宋体" w:hAnsi="宋体"/>
                <w:sz w:val="18"/>
                <w:szCs w:val="18"/>
              </w:rPr>
              <w:t xml:space="preserve">0.3672 </w:t>
            </w:r>
          </w:p>
        </w:tc>
        <w:tc>
          <w:tcPr>
            <w:tcW w:w="745" w:type="dxa"/>
            <w:noWrap/>
          </w:tcPr>
          <w:p w14:paraId="37CA0AE0">
            <w:pPr>
              <w:pStyle w:val="39"/>
              <w:rPr>
                <w:rFonts w:ascii="宋体" w:hAnsi="宋体"/>
                <w:sz w:val="18"/>
                <w:szCs w:val="18"/>
              </w:rPr>
            </w:pPr>
            <w:r>
              <w:rPr>
                <w:rFonts w:ascii="宋体" w:hAnsi="宋体"/>
                <w:sz w:val="18"/>
                <w:szCs w:val="18"/>
              </w:rPr>
              <w:t xml:space="preserve">0.3418 </w:t>
            </w:r>
          </w:p>
        </w:tc>
        <w:tc>
          <w:tcPr>
            <w:tcW w:w="744" w:type="dxa"/>
            <w:noWrap/>
          </w:tcPr>
          <w:p w14:paraId="5D1007BE">
            <w:pPr>
              <w:pStyle w:val="39"/>
              <w:rPr>
                <w:rFonts w:ascii="宋体" w:hAnsi="宋体"/>
                <w:sz w:val="18"/>
                <w:szCs w:val="18"/>
              </w:rPr>
            </w:pPr>
            <w:r>
              <w:rPr>
                <w:rFonts w:ascii="宋体" w:hAnsi="宋体"/>
                <w:sz w:val="18"/>
                <w:szCs w:val="18"/>
              </w:rPr>
              <w:t xml:space="preserve">0.3195 </w:t>
            </w:r>
          </w:p>
        </w:tc>
        <w:tc>
          <w:tcPr>
            <w:tcW w:w="744" w:type="dxa"/>
            <w:noWrap/>
          </w:tcPr>
          <w:p w14:paraId="4B05F218">
            <w:pPr>
              <w:pStyle w:val="39"/>
              <w:rPr>
                <w:rFonts w:ascii="宋体" w:hAnsi="宋体"/>
                <w:sz w:val="18"/>
                <w:szCs w:val="18"/>
              </w:rPr>
            </w:pPr>
            <w:r>
              <w:rPr>
                <w:rFonts w:ascii="宋体" w:hAnsi="宋体"/>
                <w:sz w:val="18"/>
                <w:szCs w:val="18"/>
              </w:rPr>
              <w:t xml:space="preserve">0.2996 </w:t>
            </w:r>
          </w:p>
        </w:tc>
        <w:tc>
          <w:tcPr>
            <w:tcW w:w="744" w:type="dxa"/>
            <w:noWrap/>
          </w:tcPr>
          <w:p w14:paraId="3E25560A">
            <w:pPr>
              <w:pStyle w:val="39"/>
              <w:rPr>
                <w:rFonts w:ascii="宋体" w:hAnsi="宋体"/>
                <w:sz w:val="18"/>
                <w:szCs w:val="18"/>
              </w:rPr>
            </w:pPr>
            <w:r>
              <w:rPr>
                <w:rFonts w:ascii="宋体" w:hAnsi="宋体"/>
                <w:sz w:val="18"/>
                <w:szCs w:val="18"/>
              </w:rPr>
              <w:t xml:space="preserve">0.2820 </w:t>
            </w:r>
          </w:p>
        </w:tc>
        <w:tc>
          <w:tcPr>
            <w:tcW w:w="744" w:type="dxa"/>
            <w:noWrap/>
          </w:tcPr>
          <w:p w14:paraId="396296E0">
            <w:pPr>
              <w:pStyle w:val="39"/>
              <w:rPr>
                <w:rFonts w:ascii="宋体" w:hAnsi="宋体"/>
                <w:sz w:val="18"/>
                <w:szCs w:val="18"/>
              </w:rPr>
            </w:pPr>
            <w:r>
              <w:rPr>
                <w:rFonts w:ascii="宋体" w:hAnsi="宋体"/>
                <w:sz w:val="18"/>
                <w:szCs w:val="18"/>
              </w:rPr>
              <w:t xml:space="preserve">0.2661 </w:t>
            </w:r>
          </w:p>
        </w:tc>
        <w:tc>
          <w:tcPr>
            <w:tcW w:w="744" w:type="dxa"/>
            <w:noWrap/>
          </w:tcPr>
          <w:p w14:paraId="1642CFAB">
            <w:pPr>
              <w:pStyle w:val="39"/>
              <w:rPr>
                <w:rFonts w:ascii="宋体" w:hAnsi="宋体"/>
                <w:sz w:val="18"/>
                <w:szCs w:val="18"/>
              </w:rPr>
            </w:pPr>
            <w:r>
              <w:rPr>
                <w:rFonts w:ascii="宋体" w:hAnsi="宋体"/>
                <w:sz w:val="18"/>
                <w:szCs w:val="18"/>
              </w:rPr>
              <w:t xml:space="preserve">0.2518 </w:t>
            </w:r>
          </w:p>
        </w:tc>
        <w:tc>
          <w:tcPr>
            <w:tcW w:w="744" w:type="dxa"/>
            <w:noWrap/>
          </w:tcPr>
          <w:p w14:paraId="1C2580C1">
            <w:pPr>
              <w:pStyle w:val="39"/>
              <w:rPr>
                <w:rFonts w:ascii="宋体" w:hAnsi="宋体"/>
                <w:sz w:val="18"/>
                <w:szCs w:val="18"/>
              </w:rPr>
            </w:pPr>
            <w:r>
              <w:rPr>
                <w:rFonts w:ascii="宋体" w:hAnsi="宋体"/>
                <w:sz w:val="18"/>
                <w:szCs w:val="18"/>
              </w:rPr>
              <w:t xml:space="preserve">0.2389 </w:t>
            </w:r>
          </w:p>
        </w:tc>
        <w:tc>
          <w:tcPr>
            <w:tcW w:w="744" w:type="dxa"/>
            <w:noWrap/>
          </w:tcPr>
          <w:p w14:paraId="65C93757">
            <w:pPr>
              <w:pStyle w:val="39"/>
              <w:rPr>
                <w:rFonts w:ascii="宋体" w:hAnsi="宋体"/>
                <w:sz w:val="18"/>
                <w:szCs w:val="18"/>
              </w:rPr>
            </w:pPr>
            <w:r>
              <w:rPr>
                <w:rFonts w:ascii="宋体" w:hAnsi="宋体"/>
                <w:sz w:val="18"/>
                <w:szCs w:val="18"/>
              </w:rPr>
              <w:t xml:space="preserve">0.2272 </w:t>
            </w:r>
          </w:p>
        </w:tc>
        <w:tc>
          <w:tcPr>
            <w:tcW w:w="744" w:type="dxa"/>
            <w:noWrap/>
          </w:tcPr>
          <w:p w14:paraId="735CEC87">
            <w:pPr>
              <w:pStyle w:val="39"/>
              <w:rPr>
                <w:rFonts w:ascii="宋体" w:hAnsi="宋体"/>
                <w:sz w:val="18"/>
                <w:szCs w:val="18"/>
              </w:rPr>
            </w:pPr>
            <w:r>
              <w:rPr>
                <w:rFonts w:ascii="宋体" w:hAnsi="宋体"/>
                <w:sz w:val="18"/>
                <w:szCs w:val="18"/>
              </w:rPr>
              <w:t xml:space="preserve">0.2165 </w:t>
            </w:r>
          </w:p>
        </w:tc>
      </w:tr>
      <w:tr w14:paraId="60B2F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45" w:type="dxa"/>
            <w:noWrap/>
          </w:tcPr>
          <w:p w14:paraId="26BD21FA">
            <w:pPr>
              <w:pStyle w:val="39"/>
              <w:rPr>
                <w:rFonts w:ascii="宋体" w:hAnsi="宋体"/>
                <w:sz w:val="18"/>
                <w:szCs w:val="18"/>
              </w:rPr>
            </w:pPr>
            <w:r>
              <w:rPr>
                <w:rFonts w:ascii="宋体" w:hAnsi="宋体"/>
                <w:sz w:val="18"/>
                <w:szCs w:val="18"/>
              </w:rPr>
              <w:t xml:space="preserve">0.15 </w:t>
            </w:r>
          </w:p>
        </w:tc>
        <w:tc>
          <w:tcPr>
            <w:tcW w:w="745" w:type="dxa"/>
            <w:noWrap/>
          </w:tcPr>
          <w:p w14:paraId="40CD49B0">
            <w:pPr>
              <w:pStyle w:val="39"/>
              <w:rPr>
                <w:rFonts w:ascii="宋体" w:hAnsi="宋体"/>
                <w:sz w:val="18"/>
                <w:szCs w:val="18"/>
              </w:rPr>
            </w:pPr>
            <w:r>
              <w:rPr>
                <w:rFonts w:ascii="宋体" w:hAnsi="宋体"/>
                <w:sz w:val="18"/>
                <w:szCs w:val="18"/>
              </w:rPr>
              <w:t xml:space="preserve">0.5875 </w:t>
            </w:r>
          </w:p>
        </w:tc>
        <w:tc>
          <w:tcPr>
            <w:tcW w:w="745" w:type="dxa"/>
            <w:noWrap/>
          </w:tcPr>
          <w:p w14:paraId="1E90C4EC">
            <w:pPr>
              <w:pStyle w:val="39"/>
              <w:rPr>
                <w:rFonts w:ascii="宋体" w:hAnsi="宋体"/>
                <w:sz w:val="18"/>
                <w:szCs w:val="18"/>
              </w:rPr>
            </w:pPr>
            <w:r>
              <w:rPr>
                <w:rFonts w:ascii="宋体" w:hAnsi="宋体"/>
                <w:sz w:val="18"/>
                <w:szCs w:val="18"/>
              </w:rPr>
              <w:t xml:space="preserve">0.5444 </w:t>
            </w:r>
          </w:p>
        </w:tc>
        <w:tc>
          <w:tcPr>
            <w:tcW w:w="745" w:type="dxa"/>
            <w:noWrap/>
          </w:tcPr>
          <w:p w14:paraId="32DF5F5C">
            <w:pPr>
              <w:pStyle w:val="39"/>
              <w:rPr>
                <w:rFonts w:ascii="宋体" w:hAnsi="宋体"/>
                <w:sz w:val="18"/>
                <w:szCs w:val="18"/>
              </w:rPr>
            </w:pPr>
            <w:r>
              <w:rPr>
                <w:rFonts w:ascii="宋体" w:hAnsi="宋体"/>
                <w:sz w:val="18"/>
                <w:szCs w:val="18"/>
              </w:rPr>
              <w:t xml:space="preserve">0.5068 </w:t>
            </w:r>
          </w:p>
        </w:tc>
        <w:tc>
          <w:tcPr>
            <w:tcW w:w="744" w:type="dxa"/>
            <w:noWrap/>
          </w:tcPr>
          <w:p w14:paraId="3E5A2D28">
            <w:pPr>
              <w:pStyle w:val="39"/>
              <w:rPr>
                <w:rFonts w:ascii="宋体" w:hAnsi="宋体"/>
                <w:sz w:val="18"/>
                <w:szCs w:val="18"/>
              </w:rPr>
            </w:pPr>
            <w:r>
              <w:rPr>
                <w:rFonts w:ascii="宋体" w:hAnsi="宋体"/>
                <w:sz w:val="18"/>
                <w:szCs w:val="18"/>
              </w:rPr>
              <w:t xml:space="preserve">0.4736 </w:t>
            </w:r>
          </w:p>
        </w:tc>
        <w:tc>
          <w:tcPr>
            <w:tcW w:w="744" w:type="dxa"/>
            <w:noWrap/>
          </w:tcPr>
          <w:p w14:paraId="24831E1E">
            <w:pPr>
              <w:pStyle w:val="39"/>
              <w:rPr>
                <w:rFonts w:ascii="宋体" w:hAnsi="宋体"/>
                <w:sz w:val="18"/>
                <w:szCs w:val="18"/>
              </w:rPr>
            </w:pPr>
            <w:r>
              <w:rPr>
                <w:rFonts w:ascii="宋体" w:hAnsi="宋体"/>
                <w:sz w:val="18"/>
                <w:szCs w:val="18"/>
              </w:rPr>
              <w:t xml:space="preserve">0.4442 </w:t>
            </w:r>
          </w:p>
        </w:tc>
        <w:tc>
          <w:tcPr>
            <w:tcW w:w="744" w:type="dxa"/>
            <w:noWrap/>
          </w:tcPr>
          <w:p w14:paraId="55271C6B">
            <w:pPr>
              <w:pStyle w:val="39"/>
              <w:rPr>
                <w:rFonts w:ascii="宋体" w:hAnsi="宋体"/>
                <w:sz w:val="18"/>
                <w:szCs w:val="18"/>
              </w:rPr>
            </w:pPr>
            <w:r>
              <w:rPr>
                <w:rFonts w:ascii="宋体" w:hAnsi="宋体"/>
                <w:sz w:val="18"/>
                <w:szCs w:val="18"/>
              </w:rPr>
              <w:t xml:space="preserve">0.4180 </w:t>
            </w:r>
          </w:p>
        </w:tc>
        <w:tc>
          <w:tcPr>
            <w:tcW w:w="744" w:type="dxa"/>
            <w:noWrap/>
          </w:tcPr>
          <w:p w14:paraId="587A2590">
            <w:pPr>
              <w:pStyle w:val="39"/>
              <w:rPr>
                <w:rFonts w:ascii="宋体" w:hAnsi="宋体"/>
                <w:sz w:val="18"/>
                <w:szCs w:val="18"/>
              </w:rPr>
            </w:pPr>
            <w:r>
              <w:rPr>
                <w:rFonts w:ascii="宋体" w:hAnsi="宋体"/>
                <w:sz w:val="18"/>
                <w:szCs w:val="18"/>
              </w:rPr>
              <w:t xml:space="preserve">0.3945 </w:t>
            </w:r>
          </w:p>
        </w:tc>
        <w:tc>
          <w:tcPr>
            <w:tcW w:w="744" w:type="dxa"/>
            <w:noWrap/>
          </w:tcPr>
          <w:p w14:paraId="60FFE658">
            <w:pPr>
              <w:pStyle w:val="39"/>
              <w:rPr>
                <w:rFonts w:ascii="宋体" w:hAnsi="宋体"/>
                <w:sz w:val="18"/>
                <w:szCs w:val="18"/>
              </w:rPr>
            </w:pPr>
            <w:r>
              <w:rPr>
                <w:rFonts w:ascii="宋体" w:hAnsi="宋体"/>
                <w:sz w:val="18"/>
                <w:szCs w:val="18"/>
              </w:rPr>
              <w:t xml:space="preserve">0.3734 </w:t>
            </w:r>
          </w:p>
        </w:tc>
        <w:tc>
          <w:tcPr>
            <w:tcW w:w="744" w:type="dxa"/>
            <w:noWrap/>
          </w:tcPr>
          <w:p w14:paraId="5434A06C">
            <w:pPr>
              <w:pStyle w:val="39"/>
              <w:rPr>
                <w:rFonts w:ascii="宋体" w:hAnsi="宋体"/>
                <w:sz w:val="18"/>
                <w:szCs w:val="18"/>
              </w:rPr>
            </w:pPr>
            <w:r>
              <w:rPr>
                <w:rFonts w:ascii="宋体" w:hAnsi="宋体"/>
                <w:sz w:val="18"/>
                <w:szCs w:val="18"/>
              </w:rPr>
              <w:t xml:space="preserve">0.3542 </w:t>
            </w:r>
          </w:p>
        </w:tc>
        <w:tc>
          <w:tcPr>
            <w:tcW w:w="744" w:type="dxa"/>
            <w:noWrap/>
          </w:tcPr>
          <w:p w14:paraId="01FB4301">
            <w:pPr>
              <w:pStyle w:val="39"/>
              <w:rPr>
                <w:rFonts w:ascii="宋体" w:hAnsi="宋体"/>
                <w:sz w:val="18"/>
                <w:szCs w:val="18"/>
              </w:rPr>
            </w:pPr>
            <w:r>
              <w:rPr>
                <w:rFonts w:ascii="宋体" w:hAnsi="宋体"/>
                <w:sz w:val="18"/>
                <w:szCs w:val="18"/>
              </w:rPr>
              <w:t xml:space="preserve">0.3368 </w:t>
            </w:r>
          </w:p>
        </w:tc>
        <w:tc>
          <w:tcPr>
            <w:tcW w:w="744" w:type="dxa"/>
            <w:noWrap/>
          </w:tcPr>
          <w:p w14:paraId="1F4622D4">
            <w:pPr>
              <w:pStyle w:val="39"/>
              <w:rPr>
                <w:rFonts w:ascii="宋体" w:hAnsi="宋体"/>
                <w:sz w:val="18"/>
                <w:szCs w:val="18"/>
              </w:rPr>
            </w:pPr>
            <w:r>
              <w:rPr>
                <w:rFonts w:ascii="宋体" w:hAnsi="宋体"/>
                <w:sz w:val="18"/>
                <w:szCs w:val="18"/>
              </w:rPr>
              <w:t xml:space="preserve">0.3210 </w:t>
            </w:r>
          </w:p>
        </w:tc>
      </w:tr>
      <w:tr w14:paraId="33644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45" w:type="dxa"/>
            <w:noWrap/>
          </w:tcPr>
          <w:p w14:paraId="4BF95E22">
            <w:pPr>
              <w:pStyle w:val="39"/>
              <w:rPr>
                <w:rFonts w:ascii="宋体" w:hAnsi="宋体"/>
                <w:sz w:val="18"/>
                <w:szCs w:val="18"/>
              </w:rPr>
            </w:pPr>
            <w:r>
              <w:rPr>
                <w:rFonts w:ascii="宋体" w:hAnsi="宋体"/>
                <w:sz w:val="18"/>
                <w:szCs w:val="18"/>
              </w:rPr>
              <w:t xml:space="preserve">0.20 </w:t>
            </w:r>
          </w:p>
        </w:tc>
        <w:tc>
          <w:tcPr>
            <w:tcW w:w="745" w:type="dxa"/>
            <w:noWrap/>
          </w:tcPr>
          <w:p w14:paraId="389D0A2E">
            <w:pPr>
              <w:pStyle w:val="39"/>
              <w:rPr>
                <w:rFonts w:ascii="宋体" w:hAnsi="宋体"/>
                <w:sz w:val="18"/>
                <w:szCs w:val="18"/>
              </w:rPr>
            </w:pPr>
            <w:r>
              <w:rPr>
                <w:rFonts w:ascii="宋体" w:hAnsi="宋体"/>
                <w:sz w:val="18"/>
                <w:szCs w:val="18"/>
              </w:rPr>
              <w:t xml:space="preserve">0.7705 </w:t>
            </w:r>
          </w:p>
        </w:tc>
        <w:tc>
          <w:tcPr>
            <w:tcW w:w="745" w:type="dxa"/>
            <w:noWrap/>
          </w:tcPr>
          <w:p w14:paraId="7B9C59A7">
            <w:pPr>
              <w:pStyle w:val="39"/>
              <w:rPr>
                <w:rFonts w:ascii="宋体" w:hAnsi="宋体"/>
                <w:sz w:val="18"/>
                <w:szCs w:val="18"/>
              </w:rPr>
            </w:pPr>
            <w:r>
              <w:rPr>
                <w:rFonts w:ascii="宋体" w:hAnsi="宋体"/>
                <w:sz w:val="18"/>
                <w:szCs w:val="18"/>
              </w:rPr>
              <w:t xml:space="preserve">0.7140 </w:t>
            </w:r>
          </w:p>
        </w:tc>
        <w:tc>
          <w:tcPr>
            <w:tcW w:w="745" w:type="dxa"/>
            <w:noWrap/>
          </w:tcPr>
          <w:p w14:paraId="38285ECB">
            <w:pPr>
              <w:pStyle w:val="39"/>
              <w:rPr>
                <w:rFonts w:ascii="宋体" w:hAnsi="宋体"/>
                <w:sz w:val="18"/>
                <w:szCs w:val="18"/>
              </w:rPr>
            </w:pPr>
            <w:r>
              <w:rPr>
                <w:rFonts w:ascii="宋体" w:hAnsi="宋体"/>
                <w:sz w:val="18"/>
                <w:szCs w:val="18"/>
              </w:rPr>
              <w:t xml:space="preserve">0.6646 </w:t>
            </w:r>
          </w:p>
        </w:tc>
        <w:tc>
          <w:tcPr>
            <w:tcW w:w="744" w:type="dxa"/>
            <w:noWrap/>
          </w:tcPr>
          <w:p w14:paraId="7FC966C9">
            <w:pPr>
              <w:pStyle w:val="39"/>
              <w:rPr>
                <w:rFonts w:ascii="宋体" w:hAnsi="宋体"/>
                <w:sz w:val="18"/>
                <w:szCs w:val="18"/>
              </w:rPr>
            </w:pPr>
            <w:r>
              <w:rPr>
                <w:rFonts w:ascii="宋体" w:hAnsi="宋体"/>
                <w:sz w:val="18"/>
                <w:szCs w:val="18"/>
              </w:rPr>
              <w:t xml:space="preserve">0.6211 </w:t>
            </w:r>
          </w:p>
        </w:tc>
        <w:tc>
          <w:tcPr>
            <w:tcW w:w="744" w:type="dxa"/>
            <w:noWrap/>
          </w:tcPr>
          <w:p w14:paraId="6C793370">
            <w:pPr>
              <w:pStyle w:val="39"/>
              <w:rPr>
                <w:rFonts w:ascii="宋体" w:hAnsi="宋体"/>
                <w:sz w:val="18"/>
                <w:szCs w:val="18"/>
              </w:rPr>
            </w:pPr>
            <w:r>
              <w:rPr>
                <w:rFonts w:ascii="宋体" w:hAnsi="宋体"/>
                <w:sz w:val="18"/>
                <w:szCs w:val="18"/>
              </w:rPr>
              <w:t xml:space="preserve">0.5826 </w:t>
            </w:r>
          </w:p>
        </w:tc>
        <w:tc>
          <w:tcPr>
            <w:tcW w:w="744" w:type="dxa"/>
            <w:noWrap/>
          </w:tcPr>
          <w:p w14:paraId="00B74ACD">
            <w:pPr>
              <w:pStyle w:val="39"/>
              <w:rPr>
                <w:rFonts w:ascii="宋体" w:hAnsi="宋体"/>
                <w:sz w:val="18"/>
                <w:szCs w:val="18"/>
              </w:rPr>
            </w:pPr>
            <w:r>
              <w:rPr>
                <w:rFonts w:ascii="宋体" w:hAnsi="宋体"/>
                <w:sz w:val="18"/>
                <w:szCs w:val="18"/>
              </w:rPr>
              <w:t xml:space="preserve">0.5483 </w:t>
            </w:r>
          </w:p>
        </w:tc>
        <w:tc>
          <w:tcPr>
            <w:tcW w:w="744" w:type="dxa"/>
            <w:noWrap/>
          </w:tcPr>
          <w:p w14:paraId="12BD385F">
            <w:pPr>
              <w:pStyle w:val="39"/>
              <w:rPr>
                <w:rFonts w:ascii="宋体" w:hAnsi="宋体"/>
                <w:sz w:val="18"/>
                <w:szCs w:val="18"/>
              </w:rPr>
            </w:pPr>
            <w:r>
              <w:rPr>
                <w:rFonts w:ascii="宋体" w:hAnsi="宋体"/>
                <w:sz w:val="18"/>
                <w:szCs w:val="18"/>
              </w:rPr>
              <w:t xml:space="preserve">0.5175 </w:t>
            </w:r>
          </w:p>
        </w:tc>
        <w:tc>
          <w:tcPr>
            <w:tcW w:w="744" w:type="dxa"/>
            <w:noWrap/>
          </w:tcPr>
          <w:p w14:paraId="00285A33">
            <w:pPr>
              <w:pStyle w:val="39"/>
              <w:rPr>
                <w:rFonts w:ascii="宋体" w:hAnsi="宋体"/>
                <w:sz w:val="18"/>
                <w:szCs w:val="18"/>
              </w:rPr>
            </w:pPr>
            <w:r>
              <w:rPr>
                <w:rFonts w:ascii="宋体" w:hAnsi="宋体"/>
                <w:sz w:val="18"/>
                <w:szCs w:val="18"/>
              </w:rPr>
              <w:t xml:space="preserve">0.4897 </w:t>
            </w:r>
          </w:p>
        </w:tc>
        <w:tc>
          <w:tcPr>
            <w:tcW w:w="744" w:type="dxa"/>
            <w:noWrap/>
          </w:tcPr>
          <w:p w14:paraId="271912A9">
            <w:pPr>
              <w:pStyle w:val="39"/>
              <w:rPr>
                <w:rFonts w:ascii="宋体" w:hAnsi="宋体"/>
                <w:sz w:val="18"/>
                <w:szCs w:val="18"/>
              </w:rPr>
            </w:pPr>
            <w:r>
              <w:rPr>
                <w:rFonts w:ascii="宋体" w:hAnsi="宋体"/>
                <w:sz w:val="18"/>
                <w:szCs w:val="18"/>
              </w:rPr>
              <w:t xml:space="preserve">0.4646 </w:t>
            </w:r>
          </w:p>
        </w:tc>
        <w:tc>
          <w:tcPr>
            <w:tcW w:w="744" w:type="dxa"/>
            <w:noWrap/>
          </w:tcPr>
          <w:p w14:paraId="07ED9B1A">
            <w:pPr>
              <w:pStyle w:val="39"/>
              <w:rPr>
                <w:rFonts w:ascii="宋体" w:hAnsi="宋体"/>
                <w:sz w:val="18"/>
                <w:szCs w:val="18"/>
              </w:rPr>
            </w:pPr>
            <w:r>
              <w:rPr>
                <w:rFonts w:ascii="宋体" w:hAnsi="宋体"/>
                <w:sz w:val="18"/>
                <w:szCs w:val="18"/>
              </w:rPr>
              <w:t xml:space="preserve">0.4418 </w:t>
            </w:r>
          </w:p>
        </w:tc>
        <w:tc>
          <w:tcPr>
            <w:tcW w:w="744" w:type="dxa"/>
            <w:noWrap/>
          </w:tcPr>
          <w:p w14:paraId="4163F96B">
            <w:pPr>
              <w:pStyle w:val="39"/>
              <w:rPr>
                <w:rFonts w:ascii="宋体" w:hAnsi="宋体"/>
                <w:sz w:val="18"/>
                <w:szCs w:val="18"/>
              </w:rPr>
            </w:pPr>
            <w:r>
              <w:rPr>
                <w:rFonts w:ascii="宋体" w:hAnsi="宋体"/>
                <w:sz w:val="18"/>
                <w:szCs w:val="18"/>
              </w:rPr>
              <w:t xml:space="preserve">0.4210 </w:t>
            </w:r>
          </w:p>
        </w:tc>
      </w:tr>
      <w:tr w14:paraId="1F1AA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45" w:type="dxa"/>
            <w:noWrap/>
          </w:tcPr>
          <w:p w14:paraId="29CC769B">
            <w:pPr>
              <w:pStyle w:val="39"/>
              <w:rPr>
                <w:rFonts w:ascii="宋体" w:hAnsi="宋体"/>
                <w:sz w:val="18"/>
                <w:szCs w:val="18"/>
              </w:rPr>
            </w:pPr>
            <w:r>
              <w:rPr>
                <w:rFonts w:ascii="宋体" w:hAnsi="宋体"/>
                <w:sz w:val="18"/>
                <w:szCs w:val="18"/>
              </w:rPr>
              <w:t xml:space="preserve">0.25 </w:t>
            </w:r>
          </w:p>
        </w:tc>
        <w:tc>
          <w:tcPr>
            <w:tcW w:w="745" w:type="dxa"/>
            <w:noWrap/>
          </w:tcPr>
          <w:p w14:paraId="23EEDA9F">
            <w:pPr>
              <w:pStyle w:val="39"/>
              <w:rPr>
                <w:rFonts w:ascii="宋体" w:hAnsi="宋体"/>
                <w:sz w:val="18"/>
                <w:szCs w:val="18"/>
              </w:rPr>
            </w:pPr>
            <w:r>
              <w:rPr>
                <w:rFonts w:ascii="宋体" w:hAnsi="宋体"/>
                <w:sz w:val="18"/>
                <w:szCs w:val="18"/>
              </w:rPr>
              <w:t xml:space="preserve">0.9428 </w:t>
            </w:r>
          </w:p>
        </w:tc>
        <w:tc>
          <w:tcPr>
            <w:tcW w:w="745" w:type="dxa"/>
            <w:noWrap/>
          </w:tcPr>
          <w:p w14:paraId="1D45D616">
            <w:pPr>
              <w:pStyle w:val="39"/>
              <w:rPr>
                <w:rFonts w:ascii="宋体" w:hAnsi="宋体"/>
                <w:sz w:val="18"/>
                <w:szCs w:val="18"/>
              </w:rPr>
            </w:pPr>
            <w:r>
              <w:rPr>
                <w:rFonts w:ascii="宋体" w:hAnsi="宋体"/>
                <w:sz w:val="18"/>
                <w:szCs w:val="18"/>
              </w:rPr>
              <w:t xml:space="preserve">0.8737 </w:t>
            </w:r>
          </w:p>
        </w:tc>
        <w:tc>
          <w:tcPr>
            <w:tcW w:w="745" w:type="dxa"/>
            <w:noWrap/>
          </w:tcPr>
          <w:p w14:paraId="1B32D90B">
            <w:pPr>
              <w:pStyle w:val="39"/>
              <w:rPr>
                <w:rFonts w:ascii="宋体" w:hAnsi="宋体"/>
                <w:sz w:val="18"/>
                <w:szCs w:val="18"/>
              </w:rPr>
            </w:pPr>
            <w:r>
              <w:rPr>
                <w:rFonts w:ascii="宋体" w:hAnsi="宋体"/>
                <w:sz w:val="18"/>
                <w:szCs w:val="18"/>
              </w:rPr>
              <w:t xml:space="preserve">0.8133 </w:t>
            </w:r>
          </w:p>
        </w:tc>
        <w:tc>
          <w:tcPr>
            <w:tcW w:w="744" w:type="dxa"/>
            <w:noWrap/>
          </w:tcPr>
          <w:p w14:paraId="08BD46AD">
            <w:pPr>
              <w:pStyle w:val="39"/>
              <w:rPr>
                <w:rFonts w:ascii="宋体" w:hAnsi="宋体"/>
                <w:sz w:val="18"/>
                <w:szCs w:val="18"/>
              </w:rPr>
            </w:pPr>
            <w:r>
              <w:rPr>
                <w:rFonts w:ascii="宋体" w:hAnsi="宋体"/>
                <w:sz w:val="18"/>
                <w:szCs w:val="18"/>
              </w:rPr>
              <w:t xml:space="preserve">0.7601 </w:t>
            </w:r>
          </w:p>
        </w:tc>
        <w:tc>
          <w:tcPr>
            <w:tcW w:w="744" w:type="dxa"/>
            <w:noWrap/>
          </w:tcPr>
          <w:p w14:paraId="604D1FDB">
            <w:pPr>
              <w:pStyle w:val="39"/>
              <w:rPr>
                <w:rFonts w:ascii="宋体" w:hAnsi="宋体"/>
                <w:sz w:val="18"/>
                <w:szCs w:val="18"/>
              </w:rPr>
            </w:pPr>
            <w:r>
              <w:rPr>
                <w:rFonts w:ascii="宋体" w:hAnsi="宋体"/>
                <w:sz w:val="18"/>
                <w:szCs w:val="18"/>
              </w:rPr>
              <w:t xml:space="preserve">0.7129 </w:t>
            </w:r>
          </w:p>
        </w:tc>
        <w:tc>
          <w:tcPr>
            <w:tcW w:w="744" w:type="dxa"/>
            <w:noWrap/>
          </w:tcPr>
          <w:p w14:paraId="09CBF991">
            <w:pPr>
              <w:pStyle w:val="39"/>
              <w:rPr>
                <w:rFonts w:ascii="宋体" w:hAnsi="宋体"/>
                <w:sz w:val="18"/>
                <w:szCs w:val="18"/>
              </w:rPr>
            </w:pPr>
            <w:r>
              <w:rPr>
                <w:rFonts w:ascii="宋体" w:hAnsi="宋体"/>
                <w:sz w:val="18"/>
                <w:szCs w:val="18"/>
              </w:rPr>
              <w:t xml:space="preserve">0.6709 </w:t>
            </w:r>
          </w:p>
        </w:tc>
        <w:tc>
          <w:tcPr>
            <w:tcW w:w="744" w:type="dxa"/>
            <w:noWrap/>
          </w:tcPr>
          <w:p w14:paraId="7131DD74">
            <w:pPr>
              <w:pStyle w:val="39"/>
              <w:rPr>
                <w:rFonts w:ascii="宋体" w:hAnsi="宋体"/>
                <w:sz w:val="18"/>
                <w:szCs w:val="18"/>
              </w:rPr>
            </w:pPr>
            <w:r>
              <w:rPr>
                <w:rFonts w:ascii="宋体" w:hAnsi="宋体"/>
                <w:sz w:val="18"/>
                <w:szCs w:val="18"/>
              </w:rPr>
              <w:t xml:space="preserve">0.6332 </w:t>
            </w:r>
          </w:p>
        </w:tc>
        <w:tc>
          <w:tcPr>
            <w:tcW w:w="744" w:type="dxa"/>
            <w:noWrap/>
          </w:tcPr>
          <w:p w14:paraId="2109AAAC">
            <w:pPr>
              <w:pStyle w:val="39"/>
              <w:rPr>
                <w:rFonts w:ascii="宋体" w:hAnsi="宋体"/>
                <w:sz w:val="18"/>
                <w:szCs w:val="18"/>
              </w:rPr>
            </w:pPr>
            <w:r>
              <w:rPr>
                <w:rFonts w:ascii="宋体" w:hAnsi="宋体"/>
                <w:sz w:val="18"/>
                <w:szCs w:val="18"/>
              </w:rPr>
              <w:t xml:space="preserve">0.5993 </w:t>
            </w:r>
          </w:p>
        </w:tc>
        <w:tc>
          <w:tcPr>
            <w:tcW w:w="744" w:type="dxa"/>
            <w:noWrap/>
          </w:tcPr>
          <w:p w14:paraId="0AE541F5">
            <w:pPr>
              <w:pStyle w:val="39"/>
              <w:rPr>
                <w:rFonts w:ascii="宋体" w:hAnsi="宋体"/>
                <w:sz w:val="18"/>
                <w:szCs w:val="18"/>
              </w:rPr>
            </w:pPr>
            <w:r>
              <w:rPr>
                <w:rFonts w:ascii="宋体" w:hAnsi="宋体"/>
                <w:sz w:val="18"/>
                <w:szCs w:val="18"/>
              </w:rPr>
              <w:t xml:space="preserve">0.5686 </w:t>
            </w:r>
          </w:p>
        </w:tc>
        <w:tc>
          <w:tcPr>
            <w:tcW w:w="744" w:type="dxa"/>
            <w:noWrap/>
          </w:tcPr>
          <w:p w14:paraId="182013B2">
            <w:pPr>
              <w:pStyle w:val="39"/>
              <w:rPr>
                <w:rFonts w:ascii="宋体" w:hAnsi="宋体"/>
                <w:sz w:val="18"/>
                <w:szCs w:val="18"/>
              </w:rPr>
            </w:pPr>
            <w:r>
              <w:rPr>
                <w:rFonts w:ascii="宋体" w:hAnsi="宋体"/>
                <w:sz w:val="18"/>
                <w:szCs w:val="18"/>
              </w:rPr>
              <w:t xml:space="preserve">0.5407 </w:t>
            </w:r>
          </w:p>
        </w:tc>
        <w:tc>
          <w:tcPr>
            <w:tcW w:w="744" w:type="dxa"/>
            <w:noWrap/>
          </w:tcPr>
          <w:p w14:paraId="21A05647">
            <w:pPr>
              <w:pStyle w:val="39"/>
              <w:rPr>
                <w:rFonts w:ascii="宋体" w:hAnsi="宋体"/>
                <w:sz w:val="18"/>
                <w:szCs w:val="18"/>
              </w:rPr>
            </w:pPr>
            <w:r>
              <w:rPr>
                <w:rFonts w:ascii="宋体" w:hAnsi="宋体"/>
                <w:sz w:val="18"/>
                <w:szCs w:val="18"/>
              </w:rPr>
              <w:t xml:space="preserve">0.5153 </w:t>
            </w:r>
          </w:p>
        </w:tc>
      </w:tr>
      <w:tr w14:paraId="7E558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45" w:type="dxa"/>
            <w:noWrap/>
          </w:tcPr>
          <w:p w14:paraId="5C9D8A0D">
            <w:pPr>
              <w:pStyle w:val="39"/>
              <w:rPr>
                <w:rFonts w:ascii="宋体" w:hAnsi="宋体"/>
                <w:sz w:val="18"/>
                <w:szCs w:val="18"/>
              </w:rPr>
            </w:pPr>
            <w:r>
              <w:rPr>
                <w:rFonts w:ascii="宋体" w:hAnsi="宋体"/>
                <w:sz w:val="18"/>
                <w:szCs w:val="18"/>
              </w:rPr>
              <w:t xml:space="preserve">0.30 </w:t>
            </w:r>
          </w:p>
        </w:tc>
        <w:tc>
          <w:tcPr>
            <w:tcW w:w="745" w:type="dxa"/>
            <w:noWrap/>
          </w:tcPr>
          <w:p w14:paraId="22C60844">
            <w:pPr>
              <w:pStyle w:val="39"/>
              <w:rPr>
                <w:rFonts w:ascii="宋体" w:hAnsi="宋体"/>
                <w:sz w:val="18"/>
                <w:szCs w:val="18"/>
              </w:rPr>
            </w:pPr>
            <w:r>
              <w:rPr>
                <w:rFonts w:ascii="宋体" w:hAnsi="宋体"/>
                <w:sz w:val="18"/>
                <w:szCs w:val="18"/>
              </w:rPr>
              <w:t xml:space="preserve">1.1021 </w:t>
            </w:r>
          </w:p>
        </w:tc>
        <w:tc>
          <w:tcPr>
            <w:tcW w:w="745" w:type="dxa"/>
            <w:noWrap/>
          </w:tcPr>
          <w:p w14:paraId="2237CFA1">
            <w:pPr>
              <w:pStyle w:val="39"/>
              <w:rPr>
                <w:rFonts w:ascii="宋体" w:hAnsi="宋体"/>
                <w:sz w:val="18"/>
                <w:szCs w:val="18"/>
              </w:rPr>
            </w:pPr>
            <w:r>
              <w:rPr>
                <w:rFonts w:ascii="宋体" w:hAnsi="宋体"/>
                <w:sz w:val="18"/>
                <w:szCs w:val="18"/>
              </w:rPr>
              <w:t xml:space="preserve">1.0213 </w:t>
            </w:r>
          </w:p>
        </w:tc>
        <w:tc>
          <w:tcPr>
            <w:tcW w:w="745" w:type="dxa"/>
            <w:noWrap/>
          </w:tcPr>
          <w:p w14:paraId="52250C6F">
            <w:pPr>
              <w:pStyle w:val="39"/>
              <w:rPr>
                <w:rFonts w:ascii="宋体" w:hAnsi="宋体"/>
                <w:sz w:val="18"/>
                <w:szCs w:val="18"/>
              </w:rPr>
            </w:pPr>
            <w:r>
              <w:rPr>
                <w:rFonts w:ascii="宋体" w:hAnsi="宋体"/>
                <w:sz w:val="18"/>
                <w:szCs w:val="18"/>
              </w:rPr>
              <w:t xml:space="preserve">0.9507 </w:t>
            </w:r>
          </w:p>
        </w:tc>
        <w:tc>
          <w:tcPr>
            <w:tcW w:w="744" w:type="dxa"/>
            <w:noWrap/>
          </w:tcPr>
          <w:p w14:paraId="725AD9F5">
            <w:pPr>
              <w:pStyle w:val="39"/>
              <w:rPr>
                <w:rFonts w:ascii="宋体" w:hAnsi="宋体"/>
                <w:sz w:val="18"/>
                <w:szCs w:val="18"/>
              </w:rPr>
            </w:pPr>
            <w:r>
              <w:rPr>
                <w:rFonts w:ascii="宋体" w:hAnsi="宋体"/>
                <w:sz w:val="18"/>
                <w:szCs w:val="18"/>
              </w:rPr>
              <w:t xml:space="preserve">0.8885 </w:t>
            </w:r>
          </w:p>
        </w:tc>
        <w:tc>
          <w:tcPr>
            <w:tcW w:w="744" w:type="dxa"/>
            <w:noWrap/>
          </w:tcPr>
          <w:p w14:paraId="226891D4">
            <w:pPr>
              <w:pStyle w:val="39"/>
              <w:rPr>
                <w:rFonts w:ascii="宋体" w:hAnsi="宋体"/>
                <w:sz w:val="18"/>
                <w:szCs w:val="18"/>
              </w:rPr>
            </w:pPr>
            <w:r>
              <w:rPr>
                <w:rFonts w:ascii="宋体" w:hAnsi="宋体"/>
                <w:sz w:val="18"/>
                <w:szCs w:val="18"/>
              </w:rPr>
              <w:t xml:space="preserve">0.8335 </w:t>
            </w:r>
          </w:p>
        </w:tc>
        <w:tc>
          <w:tcPr>
            <w:tcW w:w="744" w:type="dxa"/>
            <w:noWrap/>
          </w:tcPr>
          <w:p w14:paraId="20AF3561">
            <w:pPr>
              <w:pStyle w:val="39"/>
              <w:rPr>
                <w:rFonts w:ascii="宋体" w:hAnsi="宋体"/>
                <w:sz w:val="18"/>
                <w:szCs w:val="18"/>
              </w:rPr>
            </w:pPr>
            <w:r>
              <w:rPr>
                <w:rFonts w:ascii="宋体" w:hAnsi="宋体"/>
                <w:sz w:val="18"/>
                <w:szCs w:val="18"/>
              </w:rPr>
              <w:t xml:space="preserve">0.7844 </w:t>
            </w:r>
          </w:p>
        </w:tc>
        <w:tc>
          <w:tcPr>
            <w:tcW w:w="744" w:type="dxa"/>
            <w:noWrap/>
          </w:tcPr>
          <w:p w14:paraId="7C9F8906">
            <w:pPr>
              <w:pStyle w:val="39"/>
              <w:rPr>
                <w:rFonts w:ascii="宋体" w:hAnsi="宋体"/>
                <w:sz w:val="18"/>
                <w:szCs w:val="18"/>
              </w:rPr>
            </w:pPr>
            <w:r>
              <w:rPr>
                <w:rFonts w:ascii="宋体" w:hAnsi="宋体"/>
                <w:sz w:val="18"/>
                <w:szCs w:val="18"/>
              </w:rPr>
              <w:t xml:space="preserve">0.7404 </w:t>
            </w:r>
          </w:p>
        </w:tc>
        <w:tc>
          <w:tcPr>
            <w:tcW w:w="744" w:type="dxa"/>
            <w:noWrap/>
          </w:tcPr>
          <w:p w14:paraId="0F58B3A1">
            <w:pPr>
              <w:pStyle w:val="39"/>
              <w:rPr>
                <w:rFonts w:ascii="宋体" w:hAnsi="宋体"/>
                <w:sz w:val="18"/>
                <w:szCs w:val="18"/>
              </w:rPr>
            </w:pPr>
            <w:r>
              <w:rPr>
                <w:rFonts w:ascii="宋体" w:hAnsi="宋体"/>
                <w:sz w:val="18"/>
                <w:szCs w:val="18"/>
              </w:rPr>
              <w:t xml:space="preserve">0.7008 </w:t>
            </w:r>
          </w:p>
        </w:tc>
        <w:tc>
          <w:tcPr>
            <w:tcW w:w="744" w:type="dxa"/>
            <w:noWrap/>
          </w:tcPr>
          <w:p w14:paraId="58EFD21F">
            <w:pPr>
              <w:pStyle w:val="39"/>
              <w:rPr>
                <w:rFonts w:ascii="宋体" w:hAnsi="宋体"/>
                <w:sz w:val="18"/>
                <w:szCs w:val="18"/>
              </w:rPr>
            </w:pPr>
            <w:r>
              <w:rPr>
                <w:rFonts w:ascii="宋体" w:hAnsi="宋体"/>
                <w:sz w:val="18"/>
                <w:szCs w:val="18"/>
              </w:rPr>
              <w:t xml:space="preserve">0.6649 </w:t>
            </w:r>
          </w:p>
        </w:tc>
        <w:tc>
          <w:tcPr>
            <w:tcW w:w="744" w:type="dxa"/>
            <w:noWrap/>
          </w:tcPr>
          <w:p w14:paraId="035CD6AB">
            <w:pPr>
              <w:pStyle w:val="39"/>
              <w:rPr>
                <w:rFonts w:ascii="宋体" w:hAnsi="宋体"/>
                <w:sz w:val="18"/>
                <w:szCs w:val="18"/>
              </w:rPr>
            </w:pPr>
            <w:r>
              <w:rPr>
                <w:rFonts w:ascii="宋体" w:hAnsi="宋体"/>
                <w:sz w:val="18"/>
                <w:szCs w:val="18"/>
              </w:rPr>
              <w:t xml:space="preserve">0.6324 </w:t>
            </w:r>
          </w:p>
        </w:tc>
        <w:tc>
          <w:tcPr>
            <w:tcW w:w="744" w:type="dxa"/>
            <w:noWrap/>
          </w:tcPr>
          <w:p w14:paraId="1BA404B6">
            <w:pPr>
              <w:pStyle w:val="39"/>
              <w:rPr>
                <w:rFonts w:ascii="宋体" w:hAnsi="宋体"/>
                <w:sz w:val="18"/>
                <w:szCs w:val="18"/>
              </w:rPr>
            </w:pPr>
            <w:r>
              <w:rPr>
                <w:rFonts w:ascii="宋体" w:hAnsi="宋体"/>
                <w:sz w:val="18"/>
                <w:szCs w:val="18"/>
              </w:rPr>
              <w:t xml:space="preserve">0.6027 </w:t>
            </w:r>
          </w:p>
        </w:tc>
      </w:tr>
      <w:tr w14:paraId="3D24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45" w:type="dxa"/>
            <w:noWrap/>
          </w:tcPr>
          <w:p w14:paraId="317C2DCF">
            <w:pPr>
              <w:pStyle w:val="39"/>
              <w:rPr>
                <w:rFonts w:ascii="宋体" w:hAnsi="宋体"/>
                <w:sz w:val="18"/>
                <w:szCs w:val="18"/>
              </w:rPr>
            </w:pPr>
            <w:r>
              <w:rPr>
                <w:rFonts w:ascii="宋体" w:hAnsi="宋体"/>
                <w:sz w:val="18"/>
                <w:szCs w:val="18"/>
              </w:rPr>
              <w:t xml:space="preserve">0.35 </w:t>
            </w:r>
          </w:p>
        </w:tc>
        <w:tc>
          <w:tcPr>
            <w:tcW w:w="745" w:type="dxa"/>
            <w:noWrap/>
          </w:tcPr>
          <w:p w14:paraId="03F638CB">
            <w:pPr>
              <w:pStyle w:val="39"/>
              <w:rPr>
                <w:rFonts w:ascii="宋体" w:hAnsi="宋体"/>
                <w:sz w:val="18"/>
                <w:szCs w:val="18"/>
              </w:rPr>
            </w:pPr>
            <w:r>
              <w:rPr>
                <w:rFonts w:ascii="宋体" w:hAnsi="宋体"/>
                <w:sz w:val="18"/>
                <w:szCs w:val="18"/>
              </w:rPr>
              <w:t xml:space="preserve">1.2462 </w:t>
            </w:r>
          </w:p>
        </w:tc>
        <w:tc>
          <w:tcPr>
            <w:tcW w:w="745" w:type="dxa"/>
            <w:noWrap/>
          </w:tcPr>
          <w:p w14:paraId="17ED6804">
            <w:pPr>
              <w:pStyle w:val="39"/>
              <w:rPr>
                <w:rFonts w:ascii="宋体" w:hAnsi="宋体"/>
                <w:sz w:val="18"/>
                <w:szCs w:val="18"/>
              </w:rPr>
            </w:pPr>
            <w:r>
              <w:rPr>
                <w:rFonts w:ascii="宋体" w:hAnsi="宋体"/>
                <w:sz w:val="18"/>
                <w:szCs w:val="18"/>
              </w:rPr>
              <w:t xml:space="preserve">1.1549 </w:t>
            </w:r>
          </w:p>
        </w:tc>
        <w:tc>
          <w:tcPr>
            <w:tcW w:w="745" w:type="dxa"/>
            <w:noWrap/>
          </w:tcPr>
          <w:p w14:paraId="09BC11A3">
            <w:pPr>
              <w:pStyle w:val="39"/>
              <w:rPr>
                <w:rFonts w:ascii="宋体" w:hAnsi="宋体"/>
                <w:sz w:val="18"/>
                <w:szCs w:val="18"/>
              </w:rPr>
            </w:pPr>
            <w:r>
              <w:rPr>
                <w:rFonts w:ascii="宋体" w:hAnsi="宋体"/>
                <w:sz w:val="18"/>
                <w:szCs w:val="18"/>
              </w:rPr>
              <w:t xml:space="preserve">1.0751 </w:t>
            </w:r>
          </w:p>
        </w:tc>
        <w:tc>
          <w:tcPr>
            <w:tcW w:w="744" w:type="dxa"/>
            <w:noWrap/>
          </w:tcPr>
          <w:p w14:paraId="0EFD45D4">
            <w:pPr>
              <w:pStyle w:val="39"/>
              <w:rPr>
                <w:rFonts w:ascii="宋体" w:hAnsi="宋体"/>
                <w:sz w:val="18"/>
                <w:szCs w:val="18"/>
              </w:rPr>
            </w:pPr>
            <w:r>
              <w:rPr>
                <w:rFonts w:ascii="宋体" w:hAnsi="宋体"/>
                <w:sz w:val="18"/>
                <w:szCs w:val="18"/>
              </w:rPr>
              <w:t xml:space="preserve">1.0048 </w:t>
            </w:r>
          </w:p>
        </w:tc>
        <w:tc>
          <w:tcPr>
            <w:tcW w:w="744" w:type="dxa"/>
            <w:noWrap/>
          </w:tcPr>
          <w:p w14:paraId="256C7E8E">
            <w:pPr>
              <w:pStyle w:val="39"/>
              <w:rPr>
                <w:rFonts w:ascii="宋体" w:hAnsi="宋体"/>
                <w:sz w:val="18"/>
                <w:szCs w:val="18"/>
              </w:rPr>
            </w:pPr>
            <w:r>
              <w:rPr>
                <w:rFonts w:ascii="宋体" w:hAnsi="宋体"/>
                <w:sz w:val="18"/>
                <w:szCs w:val="18"/>
              </w:rPr>
              <w:t xml:space="preserve">0.9426 </w:t>
            </w:r>
          </w:p>
        </w:tc>
        <w:tc>
          <w:tcPr>
            <w:tcW w:w="744" w:type="dxa"/>
            <w:noWrap/>
          </w:tcPr>
          <w:p w14:paraId="4E3FCB54">
            <w:pPr>
              <w:pStyle w:val="39"/>
              <w:rPr>
                <w:rFonts w:ascii="宋体" w:hAnsi="宋体"/>
                <w:sz w:val="18"/>
                <w:szCs w:val="18"/>
              </w:rPr>
            </w:pPr>
            <w:r>
              <w:rPr>
                <w:rFonts w:ascii="宋体" w:hAnsi="宋体"/>
                <w:sz w:val="18"/>
                <w:szCs w:val="18"/>
              </w:rPr>
              <w:t xml:space="preserve">0.8872 </w:t>
            </w:r>
          </w:p>
        </w:tc>
        <w:tc>
          <w:tcPr>
            <w:tcW w:w="744" w:type="dxa"/>
            <w:noWrap/>
          </w:tcPr>
          <w:p w14:paraId="006822C5">
            <w:pPr>
              <w:pStyle w:val="39"/>
              <w:rPr>
                <w:rFonts w:ascii="宋体" w:hAnsi="宋体"/>
                <w:sz w:val="18"/>
                <w:szCs w:val="18"/>
              </w:rPr>
            </w:pPr>
            <w:r>
              <w:rPr>
                <w:rFonts w:ascii="宋体" w:hAnsi="宋体"/>
                <w:sz w:val="18"/>
                <w:szCs w:val="18"/>
              </w:rPr>
              <w:t xml:space="preserve">0.8375 </w:t>
            </w:r>
          </w:p>
        </w:tc>
        <w:tc>
          <w:tcPr>
            <w:tcW w:w="744" w:type="dxa"/>
            <w:noWrap/>
          </w:tcPr>
          <w:p w14:paraId="360A9D75">
            <w:pPr>
              <w:pStyle w:val="39"/>
              <w:rPr>
                <w:rFonts w:ascii="宋体" w:hAnsi="宋体"/>
                <w:sz w:val="18"/>
                <w:szCs w:val="18"/>
              </w:rPr>
            </w:pPr>
            <w:r>
              <w:rPr>
                <w:rFonts w:ascii="宋体" w:hAnsi="宋体"/>
                <w:sz w:val="18"/>
                <w:szCs w:val="18"/>
              </w:rPr>
              <w:t xml:space="preserve">0.7928 </w:t>
            </w:r>
          </w:p>
        </w:tc>
        <w:tc>
          <w:tcPr>
            <w:tcW w:w="744" w:type="dxa"/>
            <w:noWrap/>
          </w:tcPr>
          <w:p w14:paraId="50476CB1">
            <w:pPr>
              <w:pStyle w:val="39"/>
              <w:rPr>
                <w:rFonts w:ascii="宋体" w:hAnsi="宋体"/>
                <w:sz w:val="18"/>
                <w:szCs w:val="18"/>
              </w:rPr>
            </w:pPr>
            <w:r>
              <w:rPr>
                <w:rFonts w:ascii="宋体" w:hAnsi="宋体"/>
                <w:sz w:val="18"/>
                <w:szCs w:val="18"/>
              </w:rPr>
              <w:t xml:space="preserve">0.7523 </w:t>
            </w:r>
          </w:p>
        </w:tc>
        <w:tc>
          <w:tcPr>
            <w:tcW w:w="744" w:type="dxa"/>
            <w:noWrap/>
          </w:tcPr>
          <w:p w14:paraId="5F21ACB3">
            <w:pPr>
              <w:pStyle w:val="39"/>
              <w:rPr>
                <w:rFonts w:ascii="宋体" w:hAnsi="宋体"/>
                <w:sz w:val="18"/>
                <w:szCs w:val="18"/>
              </w:rPr>
            </w:pPr>
            <w:r>
              <w:rPr>
                <w:rFonts w:ascii="宋体" w:hAnsi="宋体"/>
                <w:sz w:val="18"/>
                <w:szCs w:val="18"/>
              </w:rPr>
              <w:t xml:space="preserve">0.7156 </w:t>
            </w:r>
          </w:p>
        </w:tc>
        <w:tc>
          <w:tcPr>
            <w:tcW w:w="744" w:type="dxa"/>
            <w:noWrap/>
          </w:tcPr>
          <w:p w14:paraId="29EB262C">
            <w:pPr>
              <w:pStyle w:val="39"/>
              <w:rPr>
                <w:rFonts w:ascii="宋体" w:hAnsi="宋体"/>
                <w:sz w:val="18"/>
                <w:szCs w:val="18"/>
              </w:rPr>
            </w:pPr>
            <w:r>
              <w:rPr>
                <w:rFonts w:ascii="宋体" w:hAnsi="宋体"/>
                <w:sz w:val="18"/>
                <w:szCs w:val="18"/>
              </w:rPr>
              <w:t xml:space="preserve">0.6821 </w:t>
            </w:r>
          </w:p>
        </w:tc>
      </w:tr>
      <w:tr w14:paraId="04459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45" w:type="dxa"/>
            <w:noWrap/>
          </w:tcPr>
          <w:p w14:paraId="2E5EA51E">
            <w:pPr>
              <w:pStyle w:val="39"/>
              <w:rPr>
                <w:rFonts w:ascii="宋体" w:hAnsi="宋体"/>
                <w:sz w:val="18"/>
                <w:szCs w:val="18"/>
              </w:rPr>
            </w:pPr>
            <w:r>
              <w:rPr>
                <w:rFonts w:ascii="宋体" w:hAnsi="宋体"/>
                <w:sz w:val="18"/>
                <w:szCs w:val="18"/>
              </w:rPr>
              <w:t xml:space="preserve">0.40 </w:t>
            </w:r>
          </w:p>
        </w:tc>
        <w:tc>
          <w:tcPr>
            <w:tcW w:w="745" w:type="dxa"/>
            <w:noWrap/>
          </w:tcPr>
          <w:p w14:paraId="7FF130A2">
            <w:pPr>
              <w:pStyle w:val="39"/>
              <w:rPr>
                <w:rFonts w:ascii="宋体" w:hAnsi="宋体"/>
                <w:sz w:val="18"/>
                <w:szCs w:val="18"/>
              </w:rPr>
            </w:pPr>
            <w:r>
              <w:rPr>
                <w:rFonts w:ascii="宋体" w:hAnsi="宋体"/>
                <w:sz w:val="18"/>
                <w:szCs w:val="18"/>
              </w:rPr>
              <w:t xml:space="preserve">1.3734 </w:t>
            </w:r>
          </w:p>
        </w:tc>
        <w:tc>
          <w:tcPr>
            <w:tcW w:w="745" w:type="dxa"/>
            <w:noWrap/>
          </w:tcPr>
          <w:p w14:paraId="62E3B4A8">
            <w:pPr>
              <w:pStyle w:val="39"/>
              <w:rPr>
                <w:rFonts w:ascii="宋体" w:hAnsi="宋体"/>
                <w:sz w:val="18"/>
                <w:szCs w:val="18"/>
              </w:rPr>
            </w:pPr>
            <w:r>
              <w:rPr>
                <w:rFonts w:ascii="宋体" w:hAnsi="宋体"/>
                <w:sz w:val="18"/>
                <w:szCs w:val="18"/>
              </w:rPr>
              <w:t xml:space="preserve">1.2728 </w:t>
            </w:r>
          </w:p>
        </w:tc>
        <w:tc>
          <w:tcPr>
            <w:tcW w:w="745" w:type="dxa"/>
            <w:noWrap/>
          </w:tcPr>
          <w:p w14:paraId="549669F8">
            <w:pPr>
              <w:pStyle w:val="39"/>
              <w:rPr>
                <w:rFonts w:ascii="宋体" w:hAnsi="宋体"/>
                <w:sz w:val="18"/>
                <w:szCs w:val="18"/>
              </w:rPr>
            </w:pPr>
            <w:r>
              <w:rPr>
                <w:rFonts w:ascii="宋体" w:hAnsi="宋体"/>
                <w:sz w:val="18"/>
                <w:szCs w:val="18"/>
              </w:rPr>
              <w:t xml:space="preserve">1.1849 </w:t>
            </w:r>
          </w:p>
        </w:tc>
        <w:tc>
          <w:tcPr>
            <w:tcW w:w="744" w:type="dxa"/>
            <w:noWrap/>
          </w:tcPr>
          <w:p w14:paraId="296C403D">
            <w:pPr>
              <w:pStyle w:val="39"/>
              <w:rPr>
                <w:rFonts w:ascii="宋体" w:hAnsi="宋体"/>
                <w:sz w:val="18"/>
                <w:szCs w:val="18"/>
              </w:rPr>
            </w:pPr>
            <w:r>
              <w:rPr>
                <w:rFonts w:ascii="宋体" w:hAnsi="宋体"/>
                <w:sz w:val="18"/>
                <w:szCs w:val="18"/>
              </w:rPr>
              <w:t xml:space="preserve">1.1075 </w:t>
            </w:r>
          </w:p>
        </w:tc>
        <w:tc>
          <w:tcPr>
            <w:tcW w:w="744" w:type="dxa"/>
            <w:noWrap/>
          </w:tcPr>
          <w:p w14:paraId="38E92247">
            <w:pPr>
              <w:pStyle w:val="39"/>
              <w:rPr>
                <w:rFonts w:ascii="宋体" w:hAnsi="宋体"/>
                <w:sz w:val="18"/>
                <w:szCs w:val="18"/>
              </w:rPr>
            </w:pPr>
            <w:r>
              <w:rPr>
                <w:rFonts w:ascii="宋体" w:hAnsi="宋体"/>
                <w:sz w:val="18"/>
                <w:szCs w:val="18"/>
              </w:rPr>
              <w:t xml:space="preserve">1.0390 </w:t>
            </w:r>
          </w:p>
        </w:tc>
        <w:tc>
          <w:tcPr>
            <w:tcW w:w="744" w:type="dxa"/>
            <w:noWrap/>
          </w:tcPr>
          <w:p w14:paraId="62D4C785">
            <w:pPr>
              <w:pStyle w:val="39"/>
              <w:rPr>
                <w:rFonts w:ascii="宋体" w:hAnsi="宋体"/>
                <w:sz w:val="18"/>
                <w:szCs w:val="18"/>
              </w:rPr>
            </w:pPr>
            <w:r>
              <w:rPr>
                <w:rFonts w:ascii="宋体" w:hAnsi="宋体"/>
                <w:sz w:val="18"/>
                <w:szCs w:val="18"/>
              </w:rPr>
              <w:t xml:space="preserve">0.9780 </w:t>
            </w:r>
          </w:p>
        </w:tc>
        <w:tc>
          <w:tcPr>
            <w:tcW w:w="744" w:type="dxa"/>
            <w:noWrap/>
          </w:tcPr>
          <w:p w14:paraId="17F72F55">
            <w:pPr>
              <w:pStyle w:val="39"/>
              <w:rPr>
                <w:rFonts w:ascii="宋体" w:hAnsi="宋体"/>
                <w:sz w:val="18"/>
                <w:szCs w:val="18"/>
              </w:rPr>
            </w:pPr>
            <w:r>
              <w:rPr>
                <w:rFonts w:ascii="宋体" w:hAnsi="宋体"/>
                <w:sz w:val="18"/>
                <w:szCs w:val="18"/>
              </w:rPr>
              <w:t xml:space="preserve">0.9234 </w:t>
            </w:r>
          </w:p>
        </w:tc>
        <w:tc>
          <w:tcPr>
            <w:tcW w:w="744" w:type="dxa"/>
            <w:noWrap/>
          </w:tcPr>
          <w:p w14:paraId="00DF8695">
            <w:pPr>
              <w:pStyle w:val="39"/>
              <w:rPr>
                <w:rFonts w:ascii="宋体" w:hAnsi="宋体"/>
                <w:sz w:val="18"/>
                <w:szCs w:val="18"/>
              </w:rPr>
            </w:pPr>
            <w:r>
              <w:rPr>
                <w:rFonts w:ascii="宋体" w:hAnsi="宋体"/>
                <w:sz w:val="18"/>
                <w:szCs w:val="18"/>
              </w:rPr>
              <w:t xml:space="preserve">0.8743 </w:t>
            </w:r>
          </w:p>
        </w:tc>
        <w:tc>
          <w:tcPr>
            <w:tcW w:w="744" w:type="dxa"/>
            <w:noWrap/>
          </w:tcPr>
          <w:p w14:paraId="1A3AA62C">
            <w:pPr>
              <w:pStyle w:val="39"/>
              <w:rPr>
                <w:rFonts w:ascii="宋体" w:hAnsi="宋体"/>
                <w:sz w:val="18"/>
                <w:szCs w:val="18"/>
              </w:rPr>
            </w:pPr>
            <w:r>
              <w:rPr>
                <w:rFonts w:ascii="宋体" w:hAnsi="宋体"/>
                <w:sz w:val="18"/>
                <w:szCs w:val="18"/>
              </w:rPr>
              <w:t xml:space="preserve">0.8298 </w:t>
            </w:r>
          </w:p>
        </w:tc>
        <w:tc>
          <w:tcPr>
            <w:tcW w:w="744" w:type="dxa"/>
            <w:noWrap/>
          </w:tcPr>
          <w:p w14:paraId="5705A79F">
            <w:pPr>
              <w:pStyle w:val="39"/>
              <w:rPr>
                <w:rFonts w:ascii="宋体" w:hAnsi="宋体"/>
                <w:sz w:val="18"/>
                <w:szCs w:val="18"/>
              </w:rPr>
            </w:pPr>
            <w:r>
              <w:rPr>
                <w:rFonts w:ascii="宋体" w:hAnsi="宋体"/>
                <w:sz w:val="18"/>
                <w:szCs w:val="18"/>
              </w:rPr>
              <w:t xml:space="preserve">0.7895 </w:t>
            </w:r>
          </w:p>
        </w:tc>
        <w:tc>
          <w:tcPr>
            <w:tcW w:w="744" w:type="dxa"/>
            <w:noWrap/>
          </w:tcPr>
          <w:p w14:paraId="0EFC689A">
            <w:pPr>
              <w:pStyle w:val="39"/>
              <w:rPr>
                <w:rFonts w:ascii="宋体" w:hAnsi="宋体"/>
                <w:sz w:val="18"/>
                <w:szCs w:val="18"/>
              </w:rPr>
            </w:pPr>
            <w:r>
              <w:rPr>
                <w:rFonts w:ascii="宋体" w:hAnsi="宋体"/>
                <w:sz w:val="18"/>
                <w:szCs w:val="18"/>
              </w:rPr>
              <w:t xml:space="preserve">0.7527 </w:t>
            </w:r>
          </w:p>
        </w:tc>
      </w:tr>
      <w:tr w14:paraId="421DF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45" w:type="dxa"/>
            <w:noWrap/>
          </w:tcPr>
          <w:p w14:paraId="7C008F60">
            <w:pPr>
              <w:pStyle w:val="39"/>
              <w:rPr>
                <w:rFonts w:ascii="宋体" w:hAnsi="宋体"/>
                <w:sz w:val="18"/>
                <w:szCs w:val="18"/>
              </w:rPr>
            </w:pPr>
            <w:r>
              <w:rPr>
                <w:rFonts w:ascii="宋体" w:hAnsi="宋体"/>
                <w:sz w:val="18"/>
                <w:szCs w:val="18"/>
              </w:rPr>
              <w:t xml:space="preserve">0.45 </w:t>
            </w:r>
          </w:p>
        </w:tc>
        <w:tc>
          <w:tcPr>
            <w:tcW w:w="745" w:type="dxa"/>
            <w:noWrap/>
          </w:tcPr>
          <w:p w14:paraId="3C895ED8">
            <w:pPr>
              <w:pStyle w:val="39"/>
              <w:rPr>
                <w:rFonts w:ascii="宋体" w:hAnsi="宋体"/>
                <w:sz w:val="18"/>
                <w:szCs w:val="18"/>
              </w:rPr>
            </w:pPr>
            <w:r>
              <w:rPr>
                <w:rFonts w:ascii="宋体" w:hAnsi="宋体"/>
                <w:sz w:val="18"/>
                <w:szCs w:val="18"/>
              </w:rPr>
              <w:t xml:space="preserve">1.4820 </w:t>
            </w:r>
          </w:p>
        </w:tc>
        <w:tc>
          <w:tcPr>
            <w:tcW w:w="745" w:type="dxa"/>
            <w:noWrap/>
          </w:tcPr>
          <w:p w14:paraId="7D085FCE">
            <w:pPr>
              <w:pStyle w:val="39"/>
              <w:rPr>
                <w:rFonts w:ascii="宋体" w:hAnsi="宋体"/>
                <w:sz w:val="18"/>
                <w:szCs w:val="18"/>
              </w:rPr>
            </w:pPr>
            <w:r>
              <w:rPr>
                <w:rFonts w:ascii="宋体" w:hAnsi="宋体"/>
                <w:sz w:val="18"/>
                <w:szCs w:val="18"/>
              </w:rPr>
              <w:t xml:space="preserve">1.3734 </w:t>
            </w:r>
          </w:p>
        </w:tc>
        <w:tc>
          <w:tcPr>
            <w:tcW w:w="745" w:type="dxa"/>
            <w:noWrap/>
          </w:tcPr>
          <w:p w14:paraId="45504BC9">
            <w:pPr>
              <w:pStyle w:val="39"/>
              <w:rPr>
                <w:rFonts w:ascii="宋体" w:hAnsi="宋体"/>
                <w:sz w:val="18"/>
                <w:szCs w:val="18"/>
              </w:rPr>
            </w:pPr>
            <w:r>
              <w:rPr>
                <w:rFonts w:ascii="宋体" w:hAnsi="宋体"/>
                <w:sz w:val="18"/>
                <w:szCs w:val="18"/>
              </w:rPr>
              <w:t xml:space="preserve">1.2787 </w:t>
            </w:r>
          </w:p>
        </w:tc>
        <w:tc>
          <w:tcPr>
            <w:tcW w:w="744" w:type="dxa"/>
            <w:noWrap/>
          </w:tcPr>
          <w:p w14:paraId="347831DE">
            <w:pPr>
              <w:pStyle w:val="39"/>
              <w:rPr>
                <w:rFonts w:ascii="宋体" w:hAnsi="宋体"/>
                <w:sz w:val="18"/>
                <w:szCs w:val="18"/>
              </w:rPr>
            </w:pPr>
            <w:r>
              <w:rPr>
                <w:rFonts w:ascii="宋体" w:hAnsi="宋体"/>
                <w:sz w:val="18"/>
                <w:szCs w:val="18"/>
              </w:rPr>
              <w:t xml:space="preserve">1.1953 </w:t>
            </w:r>
          </w:p>
        </w:tc>
        <w:tc>
          <w:tcPr>
            <w:tcW w:w="744" w:type="dxa"/>
            <w:noWrap/>
          </w:tcPr>
          <w:p w14:paraId="021DCEF2">
            <w:pPr>
              <w:pStyle w:val="39"/>
              <w:rPr>
                <w:rFonts w:ascii="宋体" w:hAnsi="宋体"/>
                <w:sz w:val="18"/>
                <w:szCs w:val="18"/>
              </w:rPr>
            </w:pPr>
            <w:r>
              <w:rPr>
                <w:rFonts w:ascii="宋体" w:hAnsi="宋体"/>
                <w:sz w:val="18"/>
                <w:szCs w:val="18"/>
              </w:rPr>
              <w:t xml:space="preserve">1.1216 </w:t>
            </w:r>
          </w:p>
        </w:tc>
        <w:tc>
          <w:tcPr>
            <w:tcW w:w="744" w:type="dxa"/>
            <w:noWrap/>
          </w:tcPr>
          <w:p w14:paraId="4C98BD5B">
            <w:pPr>
              <w:pStyle w:val="39"/>
              <w:rPr>
                <w:rFonts w:ascii="宋体" w:hAnsi="宋体"/>
                <w:sz w:val="18"/>
                <w:szCs w:val="18"/>
              </w:rPr>
            </w:pPr>
            <w:r>
              <w:rPr>
                <w:rFonts w:ascii="宋体" w:hAnsi="宋体"/>
                <w:sz w:val="18"/>
                <w:szCs w:val="18"/>
              </w:rPr>
              <w:t xml:space="preserve">1.0560 </w:t>
            </w:r>
          </w:p>
        </w:tc>
        <w:tc>
          <w:tcPr>
            <w:tcW w:w="744" w:type="dxa"/>
            <w:noWrap/>
          </w:tcPr>
          <w:p w14:paraId="1AA522AE">
            <w:pPr>
              <w:pStyle w:val="39"/>
              <w:rPr>
                <w:rFonts w:ascii="宋体" w:hAnsi="宋体"/>
                <w:sz w:val="18"/>
                <w:szCs w:val="18"/>
              </w:rPr>
            </w:pPr>
            <w:r>
              <w:rPr>
                <w:rFonts w:ascii="宋体" w:hAnsi="宋体"/>
                <w:sz w:val="18"/>
                <w:szCs w:val="18"/>
              </w:rPr>
              <w:t xml:space="preserve">0.9972 </w:t>
            </w:r>
          </w:p>
        </w:tc>
        <w:tc>
          <w:tcPr>
            <w:tcW w:w="744" w:type="dxa"/>
            <w:noWrap/>
          </w:tcPr>
          <w:p w14:paraId="4C3036CA">
            <w:pPr>
              <w:pStyle w:val="39"/>
              <w:rPr>
                <w:rFonts w:ascii="宋体" w:hAnsi="宋体"/>
                <w:sz w:val="18"/>
                <w:szCs w:val="18"/>
              </w:rPr>
            </w:pPr>
            <w:r>
              <w:rPr>
                <w:rFonts w:ascii="宋体" w:hAnsi="宋体"/>
                <w:sz w:val="18"/>
                <w:szCs w:val="18"/>
              </w:rPr>
              <w:t xml:space="preserve">0.9444 </w:t>
            </w:r>
          </w:p>
        </w:tc>
        <w:tc>
          <w:tcPr>
            <w:tcW w:w="744" w:type="dxa"/>
            <w:noWrap/>
          </w:tcPr>
          <w:p w14:paraId="70B2CB75">
            <w:pPr>
              <w:pStyle w:val="39"/>
              <w:rPr>
                <w:rFonts w:ascii="宋体" w:hAnsi="宋体"/>
                <w:sz w:val="18"/>
                <w:szCs w:val="18"/>
              </w:rPr>
            </w:pPr>
            <w:r>
              <w:rPr>
                <w:rFonts w:ascii="宋体" w:hAnsi="宋体"/>
                <w:sz w:val="18"/>
                <w:szCs w:val="18"/>
              </w:rPr>
              <w:t xml:space="preserve">0.8967 </w:t>
            </w:r>
          </w:p>
        </w:tc>
        <w:tc>
          <w:tcPr>
            <w:tcW w:w="744" w:type="dxa"/>
            <w:noWrap/>
          </w:tcPr>
          <w:p w14:paraId="16342CCF">
            <w:pPr>
              <w:pStyle w:val="39"/>
              <w:rPr>
                <w:rFonts w:ascii="宋体" w:hAnsi="宋体"/>
                <w:sz w:val="18"/>
                <w:szCs w:val="18"/>
              </w:rPr>
            </w:pPr>
            <w:r>
              <w:rPr>
                <w:rFonts w:ascii="宋体" w:hAnsi="宋体"/>
                <w:sz w:val="18"/>
                <w:szCs w:val="18"/>
              </w:rPr>
              <w:t xml:space="preserve">0.8534 </w:t>
            </w:r>
          </w:p>
        </w:tc>
        <w:tc>
          <w:tcPr>
            <w:tcW w:w="744" w:type="dxa"/>
            <w:noWrap/>
          </w:tcPr>
          <w:p w14:paraId="6AA7CADA">
            <w:pPr>
              <w:pStyle w:val="39"/>
              <w:rPr>
                <w:rFonts w:ascii="宋体" w:hAnsi="宋体"/>
                <w:sz w:val="18"/>
                <w:szCs w:val="18"/>
              </w:rPr>
            </w:pPr>
            <w:r>
              <w:rPr>
                <w:rFonts w:ascii="宋体" w:hAnsi="宋体"/>
                <w:sz w:val="18"/>
                <w:szCs w:val="18"/>
              </w:rPr>
              <w:t xml:space="preserve">0.8140 </w:t>
            </w:r>
          </w:p>
        </w:tc>
      </w:tr>
      <w:tr w14:paraId="5AA8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45" w:type="dxa"/>
            <w:noWrap/>
          </w:tcPr>
          <w:p w14:paraId="13629158">
            <w:pPr>
              <w:pStyle w:val="39"/>
              <w:rPr>
                <w:rFonts w:ascii="宋体" w:hAnsi="宋体"/>
                <w:sz w:val="18"/>
                <w:szCs w:val="18"/>
              </w:rPr>
            </w:pPr>
            <w:r>
              <w:rPr>
                <w:rFonts w:ascii="宋体" w:hAnsi="宋体"/>
                <w:sz w:val="18"/>
                <w:szCs w:val="18"/>
              </w:rPr>
              <w:t xml:space="preserve">0.50 </w:t>
            </w:r>
          </w:p>
        </w:tc>
        <w:tc>
          <w:tcPr>
            <w:tcW w:w="745" w:type="dxa"/>
            <w:noWrap/>
          </w:tcPr>
          <w:p w14:paraId="476EA6FF">
            <w:pPr>
              <w:pStyle w:val="39"/>
              <w:rPr>
                <w:rFonts w:ascii="宋体" w:hAnsi="宋体"/>
                <w:sz w:val="18"/>
                <w:szCs w:val="18"/>
              </w:rPr>
            </w:pPr>
            <w:r>
              <w:rPr>
                <w:rFonts w:ascii="宋体" w:hAnsi="宋体"/>
                <w:sz w:val="18"/>
                <w:szCs w:val="18"/>
              </w:rPr>
              <w:t xml:space="preserve">1.5708 </w:t>
            </w:r>
          </w:p>
        </w:tc>
        <w:tc>
          <w:tcPr>
            <w:tcW w:w="745" w:type="dxa"/>
            <w:noWrap/>
          </w:tcPr>
          <w:p w14:paraId="7B097028">
            <w:pPr>
              <w:pStyle w:val="39"/>
              <w:rPr>
                <w:rFonts w:ascii="宋体" w:hAnsi="宋体"/>
                <w:sz w:val="18"/>
                <w:szCs w:val="18"/>
              </w:rPr>
            </w:pPr>
            <w:r>
              <w:rPr>
                <w:rFonts w:ascii="宋体" w:hAnsi="宋体"/>
                <w:sz w:val="18"/>
                <w:szCs w:val="18"/>
              </w:rPr>
              <w:t xml:space="preserve">1.4558 </w:t>
            </w:r>
          </w:p>
        </w:tc>
        <w:tc>
          <w:tcPr>
            <w:tcW w:w="745" w:type="dxa"/>
            <w:noWrap/>
          </w:tcPr>
          <w:p w14:paraId="3420A179">
            <w:pPr>
              <w:pStyle w:val="39"/>
              <w:rPr>
                <w:rFonts w:ascii="宋体" w:hAnsi="宋体"/>
                <w:sz w:val="18"/>
                <w:szCs w:val="18"/>
              </w:rPr>
            </w:pPr>
            <w:r>
              <w:rPr>
                <w:rFonts w:ascii="宋体" w:hAnsi="宋体"/>
                <w:sz w:val="18"/>
                <w:szCs w:val="18"/>
              </w:rPr>
              <w:t xml:space="preserve">1.3555 </w:t>
            </w:r>
          </w:p>
        </w:tc>
        <w:tc>
          <w:tcPr>
            <w:tcW w:w="744" w:type="dxa"/>
            <w:noWrap/>
          </w:tcPr>
          <w:p w14:paraId="62DF6B02">
            <w:pPr>
              <w:pStyle w:val="39"/>
              <w:rPr>
                <w:rFonts w:ascii="宋体" w:hAnsi="宋体"/>
                <w:sz w:val="18"/>
                <w:szCs w:val="18"/>
              </w:rPr>
            </w:pPr>
            <w:r>
              <w:rPr>
                <w:rFonts w:ascii="宋体" w:hAnsi="宋体"/>
                <w:sz w:val="18"/>
                <w:szCs w:val="18"/>
              </w:rPr>
              <w:t xml:space="preserve">1.2674 </w:t>
            </w:r>
          </w:p>
        </w:tc>
        <w:tc>
          <w:tcPr>
            <w:tcW w:w="744" w:type="dxa"/>
            <w:noWrap/>
          </w:tcPr>
          <w:p w14:paraId="30191394">
            <w:pPr>
              <w:pStyle w:val="39"/>
              <w:rPr>
                <w:rFonts w:ascii="宋体" w:hAnsi="宋体"/>
                <w:sz w:val="18"/>
                <w:szCs w:val="18"/>
              </w:rPr>
            </w:pPr>
            <w:r>
              <w:rPr>
                <w:rFonts w:ascii="宋体" w:hAnsi="宋体"/>
                <w:sz w:val="18"/>
                <w:szCs w:val="18"/>
              </w:rPr>
              <w:t xml:space="preserve">1.1895 </w:t>
            </w:r>
          </w:p>
        </w:tc>
        <w:tc>
          <w:tcPr>
            <w:tcW w:w="744" w:type="dxa"/>
            <w:noWrap/>
          </w:tcPr>
          <w:p w14:paraId="4D10E52A">
            <w:pPr>
              <w:pStyle w:val="39"/>
              <w:rPr>
                <w:rFonts w:ascii="宋体" w:hAnsi="宋体"/>
                <w:sz w:val="18"/>
                <w:szCs w:val="18"/>
              </w:rPr>
            </w:pPr>
            <w:r>
              <w:rPr>
                <w:rFonts w:ascii="宋体" w:hAnsi="宋体"/>
                <w:sz w:val="18"/>
                <w:szCs w:val="18"/>
              </w:rPr>
              <w:t xml:space="preserve">1.1203 </w:t>
            </w:r>
          </w:p>
        </w:tc>
        <w:tc>
          <w:tcPr>
            <w:tcW w:w="744" w:type="dxa"/>
            <w:noWrap/>
          </w:tcPr>
          <w:p w14:paraId="1C345247">
            <w:pPr>
              <w:pStyle w:val="39"/>
              <w:rPr>
                <w:rFonts w:ascii="宋体" w:hAnsi="宋体"/>
                <w:sz w:val="18"/>
                <w:szCs w:val="18"/>
              </w:rPr>
            </w:pPr>
            <w:r>
              <w:rPr>
                <w:rFonts w:ascii="宋体" w:hAnsi="宋体"/>
                <w:sz w:val="18"/>
                <w:szCs w:val="18"/>
              </w:rPr>
              <w:t xml:space="preserve">1.0584 </w:t>
            </w:r>
          </w:p>
        </w:tc>
        <w:tc>
          <w:tcPr>
            <w:tcW w:w="744" w:type="dxa"/>
            <w:noWrap/>
          </w:tcPr>
          <w:p w14:paraId="1E45355A">
            <w:pPr>
              <w:pStyle w:val="39"/>
              <w:rPr>
                <w:rFonts w:ascii="宋体" w:hAnsi="宋体"/>
                <w:sz w:val="18"/>
                <w:szCs w:val="18"/>
              </w:rPr>
            </w:pPr>
            <w:r>
              <w:rPr>
                <w:rFonts w:ascii="宋体" w:hAnsi="宋体"/>
                <w:sz w:val="18"/>
                <w:szCs w:val="18"/>
              </w:rPr>
              <w:t xml:space="preserve">1.0028 </w:t>
            </w:r>
          </w:p>
        </w:tc>
        <w:tc>
          <w:tcPr>
            <w:tcW w:w="744" w:type="dxa"/>
            <w:noWrap/>
          </w:tcPr>
          <w:p w14:paraId="601C8314">
            <w:pPr>
              <w:pStyle w:val="39"/>
              <w:rPr>
                <w:rFonts w:ascii="宋体" w:hAnsi="宋体"/>
                <w:sz w:val="18"/>
                <w:szCs w:val="18"/>
              </w:rPr>
            </w:pPr>
            <w:r>
              <w:rPr>
                <w:rFonts w:ascii="宋体" w:hAnsi="宋体"/>
                <w:sz w:val="18"/>
                <w:szCs w:val="18"/>
              </w:rPr>
              <w:t xml:space="preserve">0.9526 </w:t>
            </w:r>
          </w:p>
        </w:tc>
        <w:tc>
          <w:tcPr>
            <w:tcW w:w="744" w:type="dxa"/>
            <w:noWrap/>
          </w:tcPr>
          <w:p w14:paraId="40DD77BF">
            <w:pPr>
              <w:pStyle w:val="39"/>
              <w:rPr>
                <w:rFonts w:ascii="宋体" w:hAnsi="宋体"/>
                <w:sz w:val="18"/>
                <w:szCs w:val="18"/>
              </w:rPr>
            </w:pPr>
            <w:r>
              <w:rPr>
                <w:rFonts w:ascii="宋体" w:hAnsi="宋体"/>
                <w:sz w:val="18"/>
                <w:szCs w:val="18"/>
              </w:rPr>
              <w:t xml:space="preserve">0.9071 </w:t>
            </w:r>
          </w:p>
        </w:tc>
        <w:tc>
          <w:tcPr>
            <w:tcW w:w="744" w:type="dxa"/>
            <w:noWrap/>
          </w:tcPr>
          <w:p w14:paraId="0B47C04B">
            <w:pPr>
              <w:pStyle w:val="39"/>
              <w:rPr>
                <w:rFonts w:ascii="宋体" w:hAnsi="宋体"/>
                <w:sz w:val="18"/>
                <w:szCs w:val="18"/>
              </w:rPr>
            </w:pPr>
            <w:r>
              <w:rPr>
                <w:rFonts w:ascii="宋体" w:hAnsi="宋体"/>
                <w:sz w:val="18"/>
                <w:szCs w:val="18"/>
              </w:rPr>
              <w:t xml:space="preserve">0.8657 </w:t>
            </w:r>
          </w:p>
        </w:tc>
      </w:tr>
      <w:tr w14:paraId="42B67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45" w:type="dxa"/>
            <w:noWrap/>
          </w:tcPr>
          <w:p w14:paraId="14BE78D0">
            <w:pPr>
              <w:pStyle w:val="39"/>
              <w:rPr>
                <w:rFonts w:ascii="宋体" w:hAnsi="宋体"/>
                <w:sz w:val="18"/>
                <w:szCs w:val="18"/>
              </w:rPr>
            </w:pPr>
            <w:r>
              <w:rPr>
                <w:rFonts w:ascii="宋体" w:hAnsi="宋体"/>
                <w:sz w:val="18"/>
                <w:szCs w:val="18"/>
              </w:rPr>
              <w:t xml:space="preserve">0.55 </w:t>
            </w:r>
          </w:p>
        </w:tc>
        <w:tc>
          <w:tcPr>
            <w:tcW w:w="745" w:type="dxa"/>
            <w:noWrap/>
          </w:tcPr>
          <w:p w14:paraId="6A2D8160">
            <w:pPr>
              <w:pStyle w:val="39"/>
              <w:rPr>
                <w:rFonts w:ascii="宋体" w:hAnsi="宋体"/>
                <w:sz w:val="18"/>
                <w:szCs w:val="18"/>
              </w:rPr>
            </w:pPr>
            <w:r>
              <w:rPr>
                <w:rFonts w:ascii="宋体" w:hAnsi="宋体"/>
                <w:sz w:val="18"/>
                <w:szCs w:val="18"/>
              </w:rPr>
              <w:t xml:space="preserve">1.6395 </w:t>
            </w:r>
          </w:p>
        </w:tc>
        <w:tc>
          <w:tcPr>
            <w:tcW w:w="745" w:type="dxa"/>
            <w:noWrap/>
          </w:tcPr>
          <w:p w14:paraId="6EC93A75">
            <w:pPr>
              <w:pStyle w:val="39"/>
              <w:rPr>
                <w:rFonts w:ascii="宋体" w:hAnsi="宋体"/>
                <w:sz w:val="18"/>
                <w:szCs w:val="18"/>
              </w:rPr>
            </w:pPr>
            <w:r>
              <w:rPr>
                <w:rFonts w:ascii="宋体" w:hAnsi="宋体"/>
                <w:sz w:val="18"/>
                <w:szCs w:val="18"/>
              </w:rPr>
              <w:t xml:space="preserve">1.5198 </w:t>
            </w:r>
          </w:p>
        </w:tc>
        <w:tc>
          <w:tcPr>
            <w:tcW w:w="745" w:type="dxa"/>
            <w:noWrap/>
          </w:tcPr>
          <w:p w14:paraId="38D47AA3">
            <w:pPr>
              <w:pStyle w:val="39"/>
              <w:rPr>
                <w:rFonts w:ascii="宋体" w:hAnsi="宋体"/>
                <w:sz w:val="18"/>
                <w:szCs w:val="18"/>
              </w:rPr>
            </w:pPr>
            <w:r>
              <w:rPr>
                <w:rFonts w:ascii="宋体" w:hAnsi="宋体"/>
                <w:sz w:val="18"/>
                <w:szCs w:val="18"/>
              </w:rPr>
              <w:t xml:space="preserve">1.4156 </w:t>
            </w:r>
          </w:p>
        </w:tc>
        <w:tc>
          <w:tcPr>
            <w:tcW w:w="744" w:type="dxa"/>
            <w:noWrap/>
          </w:tcPr>
          <w:p w14:paraId="4A719ADA">
            <w:pPr>
              <w:pStyle w:val="39"/>
              <w:rPr>
                <w:rFonts w:ascii="宋体" w:hAnsi="宋体"/>
                <w:sz w:val="18"/>
                <w:szCs w:val="18"/>
              </w:rPr>
            </w:pPr>
            <w:r>
              <w:rPr>
                <w:rFonts w:ascii="宋体" w:hAnsi="宋体"/>
                <w:sz w:val="18"/>
                <w:szCs w:val="18"/>
              </w:rPr>
              <w:t xml:space="preserve">1.3242 </w:t>
            </w:r>
          </w:p>
        </w:tc>
        <w:tc>
          <w:tcPr>
            <w:tcW w:w="744" w:type="dxa"/>
            <w:noWrap/>
          </w:tcPr>
          <w:p w14:paraId="034E7CA8">
            <w:pPr>
              <w:pStyle w:val="39"/>
              <w:rPr>
                <w:rFonts w:ascii="宋体" w:hAnsi="宋体"/>
                <w:sz w:val="18"/>
                <w:szCs w:val="18"/>
              </w:rPr>
            </w:pPr>
            <w:r>
              <w:rPr>
                <w:rFonts w:ascii="宋体" w:hAnsi="宋体"/>
                <w:sz w:val="18"/>
                <w:szCs w:val="18"/>
              </w:rPr>
              <w:t xml:space="preserve">1.2435 </w:t>
            </w:r>
          </w:p>
        </w:tc>
        <w:tc>
          <w:tcPr>
            <w:tcW w:w="744" w:type="dxa"/>
            <w:noWrap/>
          </w:tcPr>
          <w:p w14:paraId="7510FC3D">
            <w:pPr>
              <w:pStyle w:val="39"/>
              <w:rPr>
                <w:rFonts w:ascii="宋体" w:hAnsi="宋体"/>
                <w:sz w:val="18"/>
                <w:szCs w:val="18"/>
              </w:rPr>
            </w:pPr>
            <w:r>
              <w:rPr>
                <w:rFonts w:ascii="宋体" w:hAnsi="宋体"/>
                <w:sz w:val="18"/>
                <w:szCs w:val="18"/>
              </w:rPr>
              <w:t xml:space="preserve">1.1718 </w:t>
            </w:r>
          </w:p>
        </w:tc>
        <w:tc>
          <w:tcPr>
            <w:tcW w:w="744" w:type="dxa"/>
            <w:noWrap/>
          </w:tcPr>
          <w:p w14:paraId="27A9ADBE">
            <w:pPr>
              <w:pStyle w:val="39"/>
              <w:rPr>
                <w:rFonts w:ascii="宋体" w:hAnsi="宋体"/>
                <w:sz w:val="18"/>
                <w:szCs w:val="18"/>
              </w:rPr>
            </w:pPr>
            <w:r>
              <w:rPr>
                <w:rFonts w:ascii="宋体" w:hAnsi="宋体"/>
                <w:sz w:val="18"/>
                <w:szCs w:val="18"/>
              </w:rPr>
              <w:t xml:space="preserve">1.1078 </w:t>
            </w:r>
          </w:p>
        </w:tc>
        <w:tc>
          <w:tcPr>
            <w:tcW w:w="744" w:type="dxa"/>
            <w:noWrap/>
          </w:tcPr>
          <w:p w14:paraId="337B2D10">
            <w:pPr>
              <w:pStyle w:val="39"/>
              <w:rPr>
                <w:rFonts w:ascii="宋体" w:hAnsi="宋体"/>
                <w:sz w:val="18"/>
                <w:szCs w:val="18"/>
              </w:rPr>
            </w:pPr>
            <w:r>
              <w:rPr>
                <w:rFonts w:ascii="宋体" w:hAnsi="宋体"/>
                <w:sz w:val="18"/>
                <w:szCs w:val="18"/>
              </w:rPr>
              <w:t xml:space="preserve">1.0504 </w:t>
            </w:r>
          </w:p>
        </w:tc>
        <w:tc>
          <w:tcPr>
            <w:tcW w:w="744" w:type="dxa"/>
            <w:noWrap/>
          </w:tcPr>
          <w:p w14:paraId="177C8CE4">
            <w:pPr>
              <w:pStyle w:val="39"/>
              <w:rPr>
                <w:rFonts w:ascii="宋体" w:hAnsi="宋体"/>
                <w:sz w:val="18"/>
                <w:szCs w:val="18"/>
              </w:rPr>
            </w:pPr>
            <w:r>
              <w:rPr>
                <w:rFonts w:ascii="宋体" w:hAnsi="宋体"/>
                <w:sz w:val="18"/>
                <w:szCs w:val="18"/>
              </w:rPr>
              <w:t xml:space="preserve">0.9986 </w:t>
            </w:r>
          </w:p>
        </w:tc>
        <w:tc>
          <w:tcPr>
            <w:tcW w:w="744" w:type="dxa"/>
            <w:noWrap/>
          </w:tcPr>
          <w:p w14:paraId="2035C4A5">
            <w:pPr>
              <w:pStyle w:val="39"/>
              <w:rPr>
                <w:rFonts w:ascii="宋体" w:hAnsi="宋体"/>
                <w:sz w:val="18"/>
                <w:szCs w:val="18"/>
              </w:rPr>
            </w:pPr>
            <w:r>
              <w:rPr>
                <w:rFonts w:ascii="宋体" w:hAnsi="宋体"/>
                <w:sz w:val="18"/>
                <w:szCs w:val="18"/>
              </w:rPr>
              <w:t xml:space="preserve">0.9516 </w:t>
            </w:r>
          </w:p>
        </w:tc>
        <w:tc>
          <w:tcPr>
            <w:tcW w:w="744" w:type="dxa"/>
            <w:noWrap/>
          </w:tcPr>
          <w:p w14:paraId="49C5C229">
            <w:pPr>
              <w:pStyle w:val="39"/>
              <w:rPr>
                <w:rFonts w:ascii="宋体" w:hAnsi="宋体"/>
                <w:sz w:val="18"/>
                <w:szCs w:val="18"/>
              </w:rPr>
            </w:pPr>
            <w:r>
              <w:rPr>
                <w:rFonts w:ascii="宋体" w:hAnsi="宋体"/>
                <w:sz w:val="18"/>
                <w:szCs w:val="18"/>
              </w:rPr>
              <w:t xml:space="preserve">0.9089 </w:t>
            </w:r>
          </w:p>
        </w:tc>
      </w:tr>
      <w:tr w14:paraId="7323C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45" w:type="dxa"/>
            <w:noWrap/>
          </w:tcPr>
          <w:p w14:paraId="6E340B1A">
            <w:pPr>
              <w:pStyle w:val="39"/>
              <w:rPr>
                <w:rFonts w:ascii="宋体" w:hAnsi="宋体"/>
                <w:sz w:val="18"/>
                <w:szCs w:val="18"/>
              </w:rPr>
            </w:pPr>
            <w:r>
              <w:rPr>
                <w:rFonts w:ascii="宋体" w:hAnsi="宋体"/>
                <w:sz w:val="18"/>
                <w:szCs w:val="18"/>
              </w:rPr>
              <w:t xml:space="preserve">0.60 </w:t>
            </w:r>
          </w:p>
        </w:tc>
        <w:tc>
          <w:tcPr>
            <w:tcW w:w="745" w:type="dxa"/>
            <w:noWrap/>
          </w:tcPr>
          <w:p w14:paraId="5D9AE34C">
            <w:pPr>
              <w:pStyle w:val="39"/>
              <w:rPr>
                <w:rFonts w:ascii="宋体" w:hAnsi="宋体"/>
                <w:sz w:val="18"/>
                <w:szCs w:val="18"/>
              </w:rPr>
            </w:pPr>
            <w:r>
              <w:rPr>
                <w:rFonts w:ascii="宋体" w:hAnsi="宋体"/>
                <w:sz w:val="18"/>
                <w:szCs w:val="18"/>
              </w:rPr>
              <w:t xml:space="preserve">1.6904 </w:t>
            </w:r>
          </w:p>
        </w:tc>
        <w:tc>
          <w:tcPr>
            <w:tcW w:w="745" w:type="dxa"/>
            <w:noWrap/>
          </w:tcPr>
          <w:p w14:paraId="1A0EC862">
            <w:pPr>
              <w:pStyle w:val="39"/>
              <w:rPr>
                <w:rFonts w:ascii="宋体" w:hAnsi="宋体"/>
                <w:sz w:val="18"/>
                <w:szCs w:val="18"/>
              </w:rPr>
            </w:pPr>
            <w:r>
              <w:rPr>
                <w:rFonts w:ascii="宋体" w:hAnsi="宋体"/>
                <w:sz w:val="18"/>
                <w:szCs w:val="18"/>
              </w:rPr>
              <w:t xml:space="preserve">1.5678 </w:t>
            </w:r>
          </w:p>
        </w:tc>
        <w:tc>
          <w:tcPr>
            <w:tcW w:w="745" w:type="dxa"/>
            <w:noWrap/>
          </w:tcPr>
          <w:p w14:paraId="442A0F0C">
            <w:pPr>
              <w:pStyle w:val="39"/>
              <w:rPr>
                <w:rFonts w:ascii="宋体" w:hAnsi="宋体"/>
                <w:sz w:val="18"/>
                <w:szCs w:val="18"/>
              </w:rPr>
            </w:pPr>
            <w:r>
              <w:rPr>
                <w:rFonts w:ascii="宋体" w:hAnsi="宋体"/>
                <w:sz w:val="18"/>
                <w:szCs w:val="18"/>
              </w:rPr>
              <w:t xml:space="preserve">1.4612 </w:t>
            </w:r>
          </w:p>
        </w:tc>
        <w:tc>
          <w:tcPr>
            <w:tcW w:w="744" w:type="dxa"/>
            <w:noWrap/>
          </w:tcPr>
          <w:p w14:paraId="1C902916">
            <w:pPr>
              <w:pStyle w:val="39"/>
              <w:rPr>
                <w:rFonts w:ascii="宋体" w:hAnsi="宋体"/>
                <w:sz w:val="18"/>
                <w:szCs w:val="18"/>
              </w:rPr>
            </w:pPr>
            <w:r>
              <w:rPr>
                <w:rFonts w:ascii="宋体" w:hAnsi="宋体"/>
                <w:sz w:val="18"/>
                <w:szCs w:val="18"/>
              </w:rPr>
              <w:t xml:space="preserve">1.3679 </w:t>
            </w:r>
          </w:p>
        </w:tc>
        <w:tc>
          <w:tcPr>
            <w:tcW w:w="744" w:type="dxa"/>
            <w:noWrap/>
          </w:tcPr>
          <w:p w14:paraId="6184EFC8">
            <w:pPr>
              <w:pStyle w:val="39"/>
              <w:rPr>
                <w:rFonts w:ascii="宋体" w:hAnsi="宋体"/>
                <w:sz w:val="18"/>
                <w:szCs w:val="18"/>
              </w:rPr>
            </w:pPr>
            <w:r>
              <w:rPr>
                <w:rFonts w:ascii="宋体" w:hAnsi="宋体"/>
                <w:sz w:val="18"/>
                <w:szCs w:val="18"/>
              </w:rPr>
              <w:t xml:space="preserve">1.2855 </w:t>
            </w:r>
          </w:p>
        </w:tc>
        <w:tc>
          <w:tcPr>
            <w:tcW w:w="744" w:type="dxa"/>
            <w:noWrap/>
          </w:tcPr>
          <w:p w14:paraId="43EFADBD">
            <w:pPr>
              <w:pStyle w:val="39"/>
              <w:rPr>
                <w:rFonts w:ascii="宋体" w:hAnsi="宋体"/>
                <w:sz w:val="18"/>
                <w:szCs w:val="18"/>
              </w:rPr>
            </w:pPr>
            <w:r>
              <w:rPr>
                <w:rFonts w:ascii="宋体" w:hAnsi="宋体"/>
                <w:sz w:val="18"/>
                <w:szCs w:val="18"/>
              </w:rPr>
              <w:t xml:space="preserve">1.2124 </w:t>
            </w:r>
          </w:p>
        </w:tc>
        <w:tc>
          <w:tcPr>
            <w:tcW w:w="744" w:type="dxa"/>
            <w:noWrap/>
          </w:tcPr>
          <w:p w14:paraId="5CE8FC95">
            <w:pPr>
              <w:pStyle w:val="39"/>
              <w:rPr>
                <w:rFonts w:ascii="宋体" w:hAnsi="宋体"/>
                <w:sz w:val="18"/>
                <w:szCs w:val="18"/>
              </w:rPr>
            </w:pPr>
            <w:r>
              <w:rPr>
                <w:rFonts w:ascii="宋体" w:hAnsi="宋体"/>
                <w:sz w:val="18"/>
                <w:szCs w:val="18"/>
              </w:rPr>
              <w:t xml:space="preserve">1.1472 </w:t>
            </w:r>
          </w:p>
        </w:tc>
        <w:tc>
          <w:tcPr>
            <w:tcW w:w="744" w:type="dxa"/>
            <w:noWrap/>
          </w:tcPr>
          <w:p w14:paraId="712EC08F">
            <w:pPr>
              <w:pStyle w:val="39"/>
              <w:rPr>
                <w:rFonts w:ascii="宋体" w:hAnsi="宋体"/>
                <w:sz w:val="18"/>
                <w:szCs w:val="18"/>
              </w:rPr>
            </w:pPr>
            <w:r>
              <w:rPr>
                <w:rFonts w:ascii="宋体" w:hAnsi="宋体"/>
                <w:sz w:val="18"/>
                <w:szCs w:val="18"/>
              </w:rPr>
              <w:t xml:space="preserve">1.0888 </w:t>
            </w:r>
          </w:p>
        </w:tc>
        <w:tc>
          <w:tcPr>
            <w:tcW w:w="744" w:type="dxa"/>
            <w:noWrap/>
          </w:tcPr>
          <w:p w14:paraId="299E2563">
            <w:pPr>
              <w:pStyle w:val="39"/>
              <w:rPr>
                <w:rFonts w:ascii="宋体" w:hAnsi="宋体"/>
                <w:sz w:val="18"/>
                <w:szCs w:val="18"/>
              </w:rPr>
            </w:pPr>
            <w:r>
              <w:rPr>
                <w:rFonts w:ascii="宋体" w:hAnsi="宋体"/>
                <w:sz w:val="18"/>
                <w:szCs w:val="18"/>
              </w:rPr>
              <w:t xml:space="preserve">1.0360 </w:t>
            </w:r>
          </w:p>
        </w:tc>
        <w:tc>
          <w:tcPr>
            <w:tcW w:w="744" w:type="dxa"/>
            <w:noWrap/>
          </w:tcPr>
          <w:p w14:paraId="330D0F1F">
            <w:pPr>
              <w:pStyle w:val="39"/>
              <w:rPr>
                <w:rFonts w:ascii="宋体" w:hAnsi="宋体"/>
                <w:sz w:val="18"/>
                <w:szCs w:val="18"/>
              </w:rPr>
            </w:pPr>
            <w:r>
              <w:rPr>
                <w:rFonts w:ascii="宋体" w:hAnsi="宋体"/>
                <w:sz w:val="18"/>
                <w:szCs w:val="18"/>
              </w:rPr>
              <w:t xml:space="preserve">0.9883 </w:t>
            </w:r>
          </w:p>
        </w:tc>
        <w:tc>
          <w:tcPr>
            <w:tcW w:w="744" w:type="dxa"/>
            <w:noWrap/>
          </w:tcPr>
          <w:p w14:paraId="1709EF08">
            <w:pPr>
              <w:pStyle w:val="39"/>
              <w:rPr>
                <w:rFonts w:ascii="宋体" w:hAnsi="宋体"/>
                <w:sz w:val="18"/>
                <w:szCs w:val="18"/>
              </w:rPr>
            </w:pPr>
            <w:r>
              <w:rPr>
                <w:rFonts w:ascii="宋体" w:hAnsi="宋体"/>
                <w:sz w:val="18"/>
                <w:szCs w:val="18"/>
              </w:rPr>
              <w:t xml:space="preserve">0.9449 </w:t>
            </w:r>
          </w:p>
        </w:tc>
      </w:tr>
      <w:tr w14:paraId="6B474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45" w:type="dxa"/>
            <w:noWrap/>
          </w:tcPr>
          <w:p w14:paraId="3E7FDFC5">
            <w:pPr>
              <w:pStyle w:val="39"/>
              <w:rPr>
                <w:rFonts w:ascii="宋体" w:hAnsi="宋体"/>
                <w:sz w:val="18"/>
                <w:szCs w:val="18"/>
              </w:rPr>
            </w:pPr>
            <w:r>
              <w:rPr>
                <w:rFonts w:ascii="宋体" w:hAnsi="宋体"/>
                <w:sz w:val="18"/>
                <w:szCs w:val="18"/>
              </w:rPr>
              <w:t xml:space="preserve">0.65 </w:t>
            </w:r>
          </w:p>
        </w:tc>
        <w:tc>
          <w:tcPr>
            <w:tcW w:w="745" w:type="dxa"/>
            <w:noWrap/>
          </w:tcPr>
          <w:p w14:paraId="4AB86DCB">
            <w:pPr>
              <w:pStyle w:val="39"/>
              <w:rPr>
                <w:rFonts w:ascii="宋体" w:hAnsi="宋体"/>
                <w:sz w:val="18"/>
                <w:szCs w:val="18"/>
              </w:rPr>
            </w:pPr>
            <w:r>
              <w:rPr>
                <w:rFonts w:ascii="宋体" w:hAnsi="宋体"/>
                <w:sz w:val="18"/>
                <w:szCs w:val="18"/>
              </w:rPr>
              <w:t xml:space="preserve">1.7264 </w:t>
            </w:r>
          </w:p>
        </w:tc>
        <w:tc>
          <w:tcPr>
            <w:tcW w:w="745" w:type="dxa"/>
            <w:noWrap/>
          </w:tcPr>
          <w:p w14:paraId="2058EDCC">
            <w:pPr>
              <w:pStyle w:val="39"/>
              <w:rPr>
                <w:rFonts w:ascii="宋体" w:hAnsi="宋体"/>
                <w:sz w:val="18"/>
                <w:szCs w:val="18"/>
              </w:rPr>
            </w:pPr>
            <w:r>
              <w:rPr>
                <w:rFonts w:ascii="宋体" w:hAnsi="宋体"/>
                <w:sz w:val="18"/>
                <w:szCs w:val="18"/>
              </w:rPr>
              <w:t xml:space="preserve">1.6024 </w:t>
            </w:r>
          </w:p>
        </w:tc>
        <w:tc>
          <w:tcPr>
            <w:tcW w:w="745" w:type="dxa"/>
            <w:noWrap/>
          </w:tcPr>
          <w:p w14:paraId="0EA777EA">
            <w:pPr>
              <w:pStyle w:val="39"/>
              <w:rPr>
                <w:rFonts w:ascii="宋体" w:hAnsi="宋体"/>
                <w:sz w:val="18"/>
                <w:szCs w:val="18"/>
              </w:rPr>
            </w:pPr>
            <w:r>
              <w:rPr>
                <w:rFonts w:ascii="宋体" w:hAnsi="宋体"/>
                <w:sz w:val="18"/>
                <w:szCs w:val="18"/>
              </w:rPr>
              <w:t xml:space="preserve">1.4947 </w:t>
            </w:r>
          </w:p>
        </w:tc>
        <w:tc>
          <w:tcPr>
            <w:tcW w:w="744" w:type="dxa"/>
            <w:noWrap/>
          </w:tcPr>
          <w:p w14:paraId="49B00674">
            <w:pPr>
              <w:pStyle w:val="39"/>
              <w:rPr>
                <w:rFonts w:ascii="宋体" w:hAnsi="宋体"/>
                <w:sz w:val="18"/>
                <w:szCs w:val="18"/>
              </w:rPr>
            </w:pPr>
            <w:r>
              <w:rPr>
                <w:rFonts w:ascii="宋体" w:hAnsi="宋体"/>
                <w:sz w:val="18"/>
                <w:szCs w:val="18"/>
              </w:rPr>
              <w:t xml:space="preserve">1.4004 </w:t>
            </w:r>
          </w:p>
        </w:tc>
        <w:tc>
          <w:tcPr>
            <w:tcW w:w="744" w:type="dxa"/>
            <w:noWrap/>
          </w:tcPr>
          <w:p w14:paraId="00F45DB2">
            <w:pPr>
              <w:pStyle w:val="39"/>
              <w:rPr>
                <w:rFonts w:ascii="宋体" w:hAnsi="宋体"/>
                <w:sz w:val="18"/>
                <w:szCs w:val="18"/>
              </w:rPr>
            </w:pPr>
            <w:r>
              <w:rPr>
                <w:rFonts w:ascii="宋体" w:hAnsi="宋体"/>
                <w:sz w:val="18"/>
                <w:szCs w:val="18"/>
              </w:rPr>
              <w:t xml:space="preserve">1.3174 </w:t>
            </w:r>
          </w:p>
        </w:tc>
        <w:tc>
          <w:tcPr>
            <w:tcW w:w="744" w:type="dxa"/>
            <w:noWrap/>
          </w:tcPr>
          <w:p w14:paraId="39BB2911">
            <w:pPr>
              <w:pStyle w:val="39"/>
              <w:rPr>
                <w:rFonts w:ascii="宋体" w:hAnsi="宋体"/>
                <w:sz w:val="18"/>
                <w:szCs w:val="18"/>
              </w:rPr>
            </w:pPr>
            <w:r>
              <w:rPr>
                <w:rFonts w:ascii="宋体" w:hAnsi="宋体"/>
                <w:sz w:val="18"/>
                <w:szCs w:val="18"/>
              </w:rPr>
              <w:t xml:space="preserve">1.2438 </w:t>
            </w:r>
          </w:p>
        </w:tc>
        <w:tc>
          <w:tcPr>
            <w:tcW w:w="744" w:type="dxa"/>
            <w:noWrap/>
          </w:tcPr>
          <w:p w14:paraId="5C233BE1">
            <w:pPr>
              <w:pStyle w:val="39"/>
              <w:rPr>
                <w:rFonts w:ascii="宋体" w:hAnsi="宋体"/>
                <w:sz w:val="18"/>
                <w:szCs w:val="18"/>
              </w:rPr>
            </w:pPr>
            <w:r>
              <w:rPr>
                <w:rFonts w:ascii="宋体" w:hAnsi="宋体"/>
                <w:sz w:val="18"/>
                <w:szCs w:val="18"/>
              </w:rPr>
              <w:t xml:space="preserve">1.1781 </w:t>
            </w:r>
          </w:p>
        </w:tc>
        <w:tc>
          <w:tcPr>
            <w:tcW w:w="744" w:type="dxa"/>
            <w:noWrap/>
          </w:tcPr>
          <w:p w14:paraId="4EBD0FB6">
            <w:pPr>
              <w:pStyle w:val="39"/>
              <w:rPr>
                <w:rFonts w:ascii="宋体" w:hAnsi="宋体"/>
                <w:sz w:val="18"/>
                <w:szCs w:val="18"/>
              </w:rPr>
            </w:pPr>
            <w:r>
              <w:rPr>
                <w:rFonts w:ascii="宋体" w:hAnsi="宋体"/>
                <w:sz w:val="18"/>
                <w:szCs w:val="18"/>
              </w:rPr>
              <w:t xml:space="preserve">1.1193 </w:t>
            </w:r>
          </w:p>
        </w:tc>
        <w:tc>
          <w:tcPr>
            <w:tcW w:w="744" w:type="dxa"/>
            <w:noWrap/>
          </w:tcPr>
          <w:p w14:paraId="4610A550">
            <w:pPr>
              <w:pStyle w:val="39"/>
              <w:rPr>
                <w:rFonts w:ascii="宋体" w:hAnsi="宋体"/>
                <w:sz w:val="18"/>
                <w:szCs w:val="18"/>
              </w:rPr>
            </w:pPr>
            <w:r>
              <w:rPr>
                <w:rFonts w:ascii="宋体" w:hAnsi="宋体"/>
                <w:sz w:val="18"/>
                <w:szCs w:val="18"/>
              </w:rPr>
              <w:t xml:space="preserve">1.0663 </w:t>
            </w:r>
          </w:p>
        </w:tc>
        <w:tc>
          <w:tcPr>
            <w:tcW w:w="744" w:type="dxa"/>
            <w:noWrap/>
          </w:tcPr>
          <w:p w14:paraId="07A2D2FF">
            <w:pPr>
              <w:pStyle w:val="39"/>
              <w:rPr>
                <w:rFonts w:ascii="宋体" w:hAnsi="宋体"/>
                <w:sz w:val="18"/>
                <w:szCs w:val="18"/>
              </w:rPr>
            </w:pPr>
            <w:r>
              <w:rPr>
                <w:rFonts w:ascii="宋体" w:hAnsi="宋体"/>
                <w:sz w:val="18"/>
                <w:szCs w:val="18"/>
              </w:rPr>
              <w:t xml:space="preserve">1.0183 </w:t>
            </w:r>
          </w:p>
        </w:tc>
        <w:tc>
          <w:tcPr>
            <w:tcW w:w="744" w:type="dxa"/>
            <w:noWrap/>
          </w:tcPr>
          <w:p w14:paraId="0C852774">
            <w:pPr>
              <w:pStyle w:val="39"/>
              <w:rPr>
                <w:rFonts w:ascii="宋体" w:hAnsi="宋体"/>
                <w:sz w:val="18"/>
                <w:szCs w:val="18"/>
              </w:rPr>
            </w:pPr>
            <w:r>
              <w:rPr>
                <w:rFonts w:ascii="宋体" w:hAnsi="宋体"/>
                <w:sz w:val="18"/>
                <w:szCs w:val="18"/>
              </w:rPr>
              <w:t xml:space="preserve">0.9746 </w:t>
            </w:r>
          </w:p>
        </w:tc>
      </w:tr>
      <w:tr w14:paraId="3EC30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45" w:type="dxa"/>
            <w:noWrap/>
          </w:tcPr>
          <w:p w14:paraId="280AF920">
            <w:pPr>
              <w:pStyle w:val="39"/>
              <w:rPr>
                <w:rFonts w:ascii="宋体" w:hAnsi="宋体"/>
                <w:sz w:val="18"/>
                <w:szCs w:val="18"/>
              </w:rPr>
            </w:pPr>
            <w:r>
              <w:rPr>
                <w:rFonts w:ascii="宋体" w:hAnsi="宋体"/>
                <w:sz w:val="18"/>
                <w:szCs w:val="18"/>
              </w:rPr>
              <w:t xml:space="preserve">0.70 </w:t>
            </w:r>
          </w:p>
        </w:tc>
        <w:tc>
          <w:tcPr>
            <w:tcW w:w="745" w:type="dxa"/>
            <w:noWrap/>
          </w:tcPr>
          <w:p w14:paraId="4803F5E6">
            <w:pPr>
              <w:pStyle w:val="39"/>
              <w:rPr>
                <w:rFonts w:ascii="宋体" w:hAnsi="宋体"/>
                <w:sz w:val="18"/>
                <w:szCs w:val="18"/>
              </w:rPr>
            </w:pPr>
            <w:r>
              <w:rPr>
                <w:rFonts w:ascii="宋体" w:hAnsi="宋体"/>
                <w:sz w:val="18"/>
                <w:szCs w:val="18"/>
              </w:rPr>
              <w:t xml:space="preserve">1.7500 </w:t>
            </w:r>
          </w:p>
        </w:tc>
        <w:tc>
          <w:tcPr>
            <w:tcW w:w="745" w:type="dxa"/>
            <w:noWrap/>
          </w:tcPr>
          <w:p w14:paraId="5AFD5803">
            <w:pPr>
              <w:pStyle w:val="39"/>
              <w:rPr>
                <w:rFonts w:ascii="宋体" w:hAnsi="宋体"/>
                <w:sz w:val="18"/>
                <w:szCs w:val="18"/>
              </w:rPr>
            </w:pPr>
            <w:r>
              <w:rPr>
                <w:rFonts w:ascii="宋体" w:hAnsi="宋体"/>
                <w:sz w:val="18"/>
                <w:szCs w:val="18"/>
              </w:rPr>
              <w:t xml:space="preserve">1.6257 </w:t>
            </w:r>
          </w:p>
        </w:tc>
        <w:tc>
          <w:tcPr>
            <w:tcW w:w="745" w:type="dxa"/>
            <w:noWrap/>
          </w:tcPr>
          <w:p w14:paraId="442654AA">
            <w:pPr>
              <w:pStyle w:val="39"/>
              <w:rPr>
                <w:rFonts w:ascii="宋体" w:hAnsi="宋体"/>
                <w:sz w:val="18"/>
                <w:szCs w:val="18"/>
              </w:rPr>
            </w:pPr>
            <w:r>
              <w:rPr>
                <w:rFonts w:ascii="宋体" w:hAnsi="宋体"/>
                <w:sz w:val="18"/>
                <w:szCs w:val="18"/>
              </w:rPr>
              <w:t xml:space="preserve">1.5179 </w:t>
            </w:r>
          </w:p>
        </w:tc>
        <w:tc>
          <w:tcPr>
            <w:tcW w:w="744" w:type="dxa"/>
            <w:noWrap/>
          </w:tcPr>
          <w:p w14:paraId="0D8AD4FA">
            <w:pPr>
              <w:pStyle w:val="39"/>
              <w:rPr>
                <w:rFonts w:ascii="宋体" w:hAnsi="宋体"/>
                <w:sz w:val="18"/>
                <w:szCs w:val="18"/>
              </w:rPr>
            </w:pPr>
            <w:r>
              <w:rPr>
                <w:rFonts w:ascii="宋体" w:hAnsi="宋体"/>
                <w:sz w:val="18"/>
                <w:szCs w:val="18"/>
              </w:rPr>
              <w:t xml:space="preserve">1.4237 </w:t>
            </w:r>
          </w:p>
        </w:tc>
        <w:tc>
          <w:tcPr>
            <w:tcW w:w="744" w:type="dxa"/>
            <w:noWrap/>
          </w:tcPr>
          <w:p w14:paraId="22193EC8">
            <w:pPr>
              <w:pStyle w:val="39"/>
              <w:rPr>
                <w:rFonts w:ascii="宋体" w:hAnsi="宋体"/>
                <w:sz w:val="18"/>
                <w:szCs w:val="18"/>
              </w:rPr>
            </w:pPr>
            <w:r>
              <w:rPr>
                <w:rFonts w:ascii="宋体" w:hAnsi="宋体"/>
                <w:sz w:val="18"/>
                <w:szCs w:val="18"/>
              </w:rPr>
              <w:t xml:space="preserve">1.3408 </w:t>
            </w:r>
          </w:p>
        </w:tc>
        <w:tc>
          <w:tcPr>
            <w:tcW w:w="744" w:type="dxa"/>
            <w:noWrap/>
          </w:tcPr>
          <w:p w14:paraId="3D8A4ED4">
            <w:pPr>
              <w:pStyle w:val="39"/>
              <w:rPr>
                <w:rFonts w:ascii="宋体" w:hAnsi="宋体"/>
                <w:sz w:val="18"/>
                <w:szCs w:val="18"/>
              </w:rPr>
            </w:pPr>
            <w:r>
              <w:rPr>
                <w:rFonts w:ascii="宋体" w:hAnsi="宋体"/>
                <w:sz w:val="18"/>
                <w:szCs w:val="18"/>
              </w:rPr>
              <w:t xml:space="preserve">1.2673 </w:t>
            </w:r>
          </w:p>
        </w:tc>
        <w:tc>
          <w:tcPr>
            <w:tcW w:w="744" w:type="dxa"/>
            <w:noWrap/>
          </w:tcPr>
          <w:p w14:paraId="7DFF027D">
            <w:pPr>
              <w:pStyle w:val="39"/>
              <w:rPr>
                <w:rFonts w:ascii="宋体" w:hAnsi="宋体"/>
                <w:sz w:val="18"/>
                <w:szCs w:val="18"/>
              </w:rPr>
            </w:pPr>
            <w:r>
              <w:rPr>
                <w:rFonts w:ascii="宋体" w:hAnsi="宋体"/>
                <w:sz w:val="18"/>
                <w:szCs w:val="18"/>
              </w:rPr>
              <w:t xml:space="preserve">1.2018 </w:t>
            </w:r>
          </w:p>
        </w:tc>
        <w:tc>
          <w:tcPr>
            <w:tcW w:w="744" w:type="dxa"/>
            <w:noWrap/>
          </w:tcPr>
          <w:p w14:paraId="3B0F6FB2">
            <w:pPr>
              <w:pStyle w:val="39"/>
              <w:rPr>
                <w:rFonts w:ascii="宋体" w:hAnsi="宋体"/>
                <w:sz w:val="18"/>
                <w:szCs w:val="18"/>
              </w:rPr>
            </w:pPr>
            <w:r>
              <w:rPr>
                <w:rFonts w:ascii="宋体" w:hAnsi="宋体"/>
                <w:sz w:val="18"/>
                <w:szCs w:val="18"/>
              </w:rPr>
              <w:t xml:space="preserve">1.1432 </w:t>
            </w:r>
          </w:p>
        </w:tc>
        <w:tc>
          <w:tcPr>
            <w:tcW w:w="744" w:type="dxa"/>
            <w:noWrap/>
          </w:tcPr>
          <w:p w14:paraId="5A3CC3EC">
            <w:pPr>
              <w:pStyle w:val="39"/>
              <w:rPr>
                <w:rFonts w:ascii="宋体" w:hAnsi="宋体"/>
                <w:sz w:val="18"/>
                <w:szCs w:val="18"/>
              </w:rPr>
            </w:pPr>
            <w:r>
              <w:rPr>
                <w:rFonts w:ascii="宋体" w:hAnsi="宋体"/>
                <w:sz w:val="18"/>
                <w:szCs w:val="18"/>
              </w:rPr>
              <w:t xml:space="preserve">1.0903 </w:t>
            </w:r>
          </w:p>
        </w:tc>
        <w:tc>
          <w:tcPr>
            <w:tcW w:w="744" w:type="dxa"/>
            <w:noWrap/>
          </w:tcPr>
          <w:p w14:paraId="683520C7">
            <w:pPr>
              <w:pStyle w:val="39"/>
              <w:rPr>
                <w:rFonts w:ascii="宋体" w:hAnsi="宋体"/>
                <w:sz w:val="18"/>
                <w:szCs w:val="18"/>
              </w:rPr>
            </w:pPr>
            <w:r>
              <w:rPr>
                <w:rFonts w:ascii="宋体" w:hAnsi="宋体"/>
                <w:sz w:val="18"/>
                <w:szCs w:val="18"/>
              </w:rPr>
              <w:t xml:space="preserve">1.0425 </w:t>
            </w:r>
          </w:p>
        </w:tc>
        <w:tc>
          <w:tcPr>
            <w:tcW w:w="744" w:type="dxa"/>
            <w:noWrap/>
          </w:tcPr>
          <w:p w14:paraId="59376FA6">
            <w:pPr>
              <w:pStyle w:val="39"/>
              <w:rPr>
                <w:rFonts w:ascii="宋体" w:hAnsi="宋体"/>
                <w:sz w:val="18"/>
                <w:szCs w:val="18"/>
              </w:rPr>
            </w:pPr>
            <w:r>
              <w:rPr>
                <w:rFonts w:ascii="宋体" w:hAnsi="宋体"/>
                <w:sz w:val="18"/>
                <w:szCs w:val="18"/>
              </w:rPr>
              <w:t xml:space="preserve">0.9990 </w:t>
            </w:r>
          </w:p>
        </w:tc>
      </w:tr>
      <w:tr w14:paraId="4218C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45" w:type="dxa"/>
            <w:noWrap/>
          </w:tcPr>
          <w:p w14:paraId="5B327DBE">
            <w:pPr>
              <w:pStyle w:val="39"/>
              <w:rPr>
                <w:rFonts w:ascii="宋体" w:hAnsi="宋体"/>
                <w:sz w:val="18"/>
                <w:szCs w:val="18"/>
              </w:rPr>
            </w:pPr>
            <w:r>
              <w:rPr>
                <w:rFonts w:ascii="宋体" w:hAnsi="宋体"/>
                <w:sz w:val="18"/>
                <w:szCs w:val="18"/>
              </w:rPr>
              <w:t xml:space="preserve">0.75 </w:t>
            </w:r>
          </w:p>
        </w:tc>
        <w:tc>
          <w:tcPr>
            <w:tcW w:w="745" w:type="dxa"/>
            <w:noWrap/>
          </w:tcPr>
          <w:p w14:paraId="3B0EC860">
            <w:pPr>
              <w:pStyle w:val="39"/>
              <w:rPr>
                <w:rFonts w:ascii="宋体" w:hAnsi="宋体"/>
                <w:sz w:val="18"/>
                <w:szCs w:val="18"/>
              </w:rPr>
            </w:pPr>
            <w:r>
              <w:rPr>
                <w:rFonts w:ascii="宋体" w:hAnsi="宋体"/>
                <w:sz w:val="18"/>
                <w:szCs w:val="18"/>
              </w:rPr>
              <w:t xml:space="preserve">1.7634 </w:t>
            </w:r>
          </w:p>
        </w:tc>
        <w:tc>
          <w:tcPr>
            <w:tcW w:w="745" w:type="dxa"/>
            <w:noWrap/>
          </w:tcPr>
          <w:p w14:paraId="4129E95C">
            <w:pPr>
              <w:pStyle w:val="39"/>
              <w:rPr>
                <w:rFonts w:ascii="宋体" w:hAnsi="宋体"/>
                <w:sz w:val="18"/>
                <w:szCs w:val="18"/>
              </w:rPr>
            </w:pPr>
            <w:r>
              <w:rPr>
                <w:rFonts w:ascii="宋体" w:hAnsi="宋体"/>
                <w:sz w:val="18"/>
                <w:szCs w:val="18"/>
              </w:rPr>
              <w:t xml:space="preserve">1.6398 </w:t>
            </w:r>
          </w:p>
        </w:tc>
        <w:tc>
          <w:tcPr>
            <w:tcW w:w="745" w:type="dxa"/>
            <w:noWrap/>
          </w:tcPr>
          <w:p w14:paraId="7FEA4A21">
            <w:pPr>
              <w:pStyle w:val="39"/>
              <w:rPr>
                <w:rFonts w:ascii="宋体" w:hAnsi="宋体"/>
                <w:sz w:val="18"/>
                <w:szCs w:val="18"/>
              </w:rPr>
            </w:pPr>
            <w:r>
              <w:rPr>
                <w:rFonts w:ascii="宋体" w:hAnsi="宋体"/>
                <w:sz w:val="18"/>
                <w:szCs w:val="18"/>
              </w:rPr>
              <w:t xml:space="preserve">1.5327 </w:t>
            </w:r>
          </w:p>
        </w:tc>
        <w:tc>
          <w:tcPr>
            <w:tcW w:w="744" w:type="dxa"/>
            <w:noWrap/>
          </w:tcPr>
          <w:p w14:paraId="5A2AE0C7">
            <w:pPr>
              <w:pStyle w:val="39"/>
              <w:rPr>
                <w:rFonts w:ascii="宋体" w:hAnsi="宋体"/>
                <w:sz w:val="18"/>
                <w:szCs w:val="18"/>
              </w:rPr>
            </w:pPr>
            <w:r>
              <w:rPr>
                <w:rFonts w:ascii="宋体" w:hAnsi="宋体"/>
                <w:sz w:val="18"/>
                <w:szCs w:val="18"/>
              </w:rPr>
              <w:t xml:space="preserve">1.4392 </w:t>
            </w:r>
          </w:p>
        </w:tc>
        <w:tc>
          <w:tcPr>
            <w:tcW w:w="744" w:type="dxa"/>
            <w:noWrap/>
          </w:tcPr>
          <w:p w14:paraId="39FE17D2">
            <w:pPr>
              <w:pStyle w:val="39"/>
              <w:rPr>
                <w:rFonts w:ascii="宋体" w:hAnsi="宋体"/>
                <w:sz w:val="18"/>
                <w:szCs w:val="18"/>
              </w:rPr>
            </w:pPr>
            <w:r>
              <w:rPr>
                <w:rFonts w:ascii="宋体" w:hAnsi="宋体"/>
                <w:sz w:val="18"/>
                <w:szCs w:val="18"/>
              </w:rPr>
              <w:t xml:space="preserve">1.3570 </w:t>
            </w:r>
          </w:p>
        </w:tc>
        <w:tc>
          <w:tcPr>
            <w:tcW w:w="744" w:type="dxa"/>
            <w:noWrap/>
          </w:tcPr>
          <w:p w14:paraId="63E4B1D9">
            <w:pPr>
              <w:pStyle w:val="39"/>
              <w:rPr>
                <w:rFonts w:ascii="宋体" w:hAnsi="宋体"/>
                <w:sz w:val="18"/>
                <w:szCs w:val="18"/>
              </w:rPr>
            </w:pPr>
            <w:r>
              <w:rPr>
                <w:rFonts w:ascii="宋体" w:hAnsi="宋体"/>
                <w:sz w:val="18"/>
                <w:szCs w:val="18"/>
              </w:rPr>
              <w:t xml:space="preserve">1.2842 </w:t>
            </w:r>
          </w:p>
        </w:tc>
        <w:tc>
          <w:tcPr>
            <w:tcW w:w="744" w:type="dxa"/>
            <w:noWrap/>
          </w:tcPr>
          <w:p w14:paraId="5787B483">
            <w:pPr>
              <w:pStyle w:val="39"/>
              <w:rPr>
                <w:rFonts w:ascii="宋体" w:hAnsi="宋体"/>
                <w:sz w:val="18"/>
                <w:szCs w:val="18"/>
              </w:rPr>
            </w:pPr>
            <w:r>
              <w:rPr>
                <w:rFonts w:ascii="宋体" w:hAnsi="宋体"/>
                <w:sz w:val="18"/>
                <w:szCs w:val="18"/>
              </w:rPr>
              <w:t xml:space="preserve">1.2194 </w:t>
            </w:r>
          </w:p>
        </w:tc>
        <w:tc>
          <w:tcPr>
            <w:tcW w:w="744" w:type="dxa"/>
            <w:noWrap/>
          </w:tcPr>
          <w:p w14:paraId="0C24E7E6">
            <w:pPr>
              <w:pStyle w:val="39"/>
              <w:rPr>
                <w:rFonts w:ascii="宋体" w:hAnsi="宋体"/>
                <w:sz w:val="18"/>
                <w:szCs w:val="18"/>
              </w:rPr>
            </w:pPr>
            <w:r>
              <w:rPr>
                <w:rFonts w:ascii="宋体" w:hAnsi="宋体"/>
                <w:sz w:val="18"/>
                <w:szCs w:val="18"/>
              </w:rPr>
              <w:t xml:space="preserve">1.1614 </w:t>
            </w:r>
          </w:p>
        </w:tc>
        <w:tc>
          <w:tcPr>
            <w:tcW w:w="744" w:type="dxa"/>
            <w:noWrap/>
          </w:tcPr>
          <w:p w14:paraId="7EE12204">
            <w:pPr>
              <w:pStyle w:val="39"/>
              <w:rPr>
                <w:rFonts w:ascii="宋体" w:hAnsi="宋体"/>
                <w:sz w:val="18"/>
                <w:szCs w:val="18"/>
              </w:rPr>
            </w:pPr>
            <w:r>
              <w:rPr>
                <w:rFonts w:ascii="宋体" w:hAnsi="宋体"/>
                <w:sz w:val="18"/>
                <w:szCs w:val="18"/>
              </w:rPr>
              <w:t xml:space="preserve">1.1091 </w:t>
            </w:r>
          </w:p>
        </w:tc>
        <w:tc>
          <w:tcPr>
            <w:tcW w:w="744" w:type="dxa"/>
            <w:noWrap/>
          </w:tcPr>
          <w:p w14:paraId="1DE2EDE3">
            <w:pPr>
              <w:pStyle w:val="39"/>
              <w:rPr>
                <w:rFonts w:ascii="宋体" w:hAnsi="宋体"/>
                <w:sz w:val="18"/>
                <w:szCs w:val="18"/>
              </w:rPr>
            </w:pPr>
            <w:r>
              <w:rPr>
                <w:rFonts w:ascii="宋体" w:hAnsi="宋体"/>
                <w:sz w:val="18"/>
                <w:szCs w:val="18"/>
              </w:rPr>
              <w:t xml:space="preserve">1.0619 </w:t>
            </w:r>
          </w:p>
        </w:tc>
        <w:tc>
          <w:tcPr>
            <w:tcW w:w="744" w:type="dxa"/>
            <w:noWrap/>
          </w:tcPr>
          <w:p w14:paraId="25CCEFD0">
            <w:pPr>
              <w:pStyle w:val="39"/>
              <w:rPr>
                <w:rFonts w:ascii="宋体" w:hAnsi="宋体"/>
                <w:sz w:val="18"/>
                <w:szCs w:val="18"/>
              </w:rPr>
            </w:pPr>
            <w:r>
              <w:rPr>
                <w:rFonts w:ascii="宋体" w:hAnsi="宋体"/>
                <w:sz w:val="18"/>
                <w:szCs w:val="18"/>
              </w:rPr>
              <w:t xml:space="preserve">1.0189 </w:t>
            </w:r>
          </w:p>
        </w:tc>
      </w:tr>
      <w:tr w14:paraId="522A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45" w:type="dxa"/>
            <w:noWrap/>
          </w:tcPr>
          <w:p w14:paraId="4C07F20D">
            <w:pPr>
              <w:pStyle w:val="39"/>
              <w:rPr>
                <w:rFonts w:ascii="宋体" w:hAnsi="宋体"/>
                <w:sz w:val="18"/>
                <w:szCs w:val="18"/>
              </w:rPr>
            </w:pPr>
            <w:r>
              <w:rPr>
                <w:rFonts w:ascii="宋体" w:hAnsi="宋体"/>
                <w:sz w:val="18"/>
                <w:szCs w:val="18"/>
              </w:rPr>
              <w:t xml:space="preserve">0.80 </w:t>
            </w:r>
          </w:p>
        </w:tc>
        <w:tc>
          <w:tcPr>
            <w:tcW w:w="745" w:type="dxa"/>
            <w:noWrap/>
          </w:tcPr>
          <w:p w14:paraId="67DDABD8">
            <w:pPr>
              <w:pStyle w:val="39"/>
              <w:rPr>
                <w:rFonts w:ascii="宋体" w:hAnsi="宋体"/>
                <w:sz w:val="18"/>
                <w:szCs w:val="18"/>
              </w:rPr>
            </w:pPr>
            <w:r>
              <w:rPr>
                <w:rFonts w:ascii="宋体" w:hAnsi="宋体"/>
                <w:sz w:val="18"/>
                <w:szCs w:val="18"/>
              </w:rPr>
              <w:t xml:space="preserve">1.7683 </w:t>
            </w:r>
          </w:p>
        </w:tc>
        <w:tc>
          <w:tcPr>
            <w:tcW w:w="745" w:type="dxa"/>
            <w:noWrap/>
          </w:tcPr>
          <w:p w14:paraId="3E16767A">
            <w:pPr>
              <w:pStyle w:val="39"/>
              <w:rPr>
                <w:rFonts w:ascii="宋体" w:hAnsi="宋体"/>
                <w:sz w:val="18"/>
                <w:szCs w:val="18"/>
              </w:rPr>
            </w:pPr>
            <w:r>
              <w:rPr>
                <w:rFonts w:ascii="宋体" w:hAnsi="宋体"/>
                <w:sz w:val="18"/>
                <w:szCs w:val="18"/>
              </w:rPr>
              <w:t xml:space="preserve">1.6462 </w:t>
            </w:r>
          </w:p>
        </w:tc>
        <w:tc>
          <w:tcPr>
            <w:tcW w:w="745" w:type="dxa"/>
            <w:noWrap/>
          </w:tcPr>
          <w:p w14:paraId="7ECC0D91">
            <w:pPr>
              <w:pStyle w:val="39"/>
              <w:rPr>
                <w:rFonts w:ascii="宋体" w:hAnsi="宋体"/>
                <w:sz w:val="18"/>
                <w:szCs w:val="18"/>
              </w:rPr>
            </w:pPr>
            <w:r>
              <w:rPr>
                <w:rFonts w:ascii="宋体" w:hAnsi="宋体"/>
                <w:sz w:val="18"/>
                <w:szCs w:val="18"/>
              </w:rPr>
              <w:t xml:space="preserve">1.5405 </w:t>
            </w:r>
          </w:p>
        </w:tc>
        <w:tc>
          <w:tcPr>
            <w:tcW w:w="744" w:type="dxa"/>
            <w:noWrap/>
          </w:tcPr>
          <w:p w14:paraId="75317F6A">
            <w:pPr>
              <w:pStyle w:val="39"/>
              <w:rPr>
                <w:rFonts w:ascii="宋体" w:hAnsi="宋体"/>
                <w:sz w:val="18"/>
                <w:szCs w:val="18"/>
              </w:rPr>
            </w:pPr>
            <w:r>
              <w:rPr>
                <w:rFonts w:ascii="宋体" w:hAnsi="宋体"/>
                <w:sz w:val="18"/>
                <w:szCs w:val="18"/>
              </w:rPr>
              <w:t xml:space="preserve">1.4483 </w:t>
            </w:r>
          </w:p>
        </w:tc>
        <w:tc>
          <w:tcPr>
            <w:tcW w:w="744" w:type="dxa"/>
            <w:noWrap/>
          </w:tcPr>
          <w:p w14:paraId="06F1FC93">
            <w:pPr>
              <w:pStyle w:val="39"/>
              <w:rPr>
                <w:rFonts w:ascii="宋体" w:hAnsi="宋体"/>
                <w:sz w:val="18"/>
                <w:szCs w:val="18"/>
              </w:rPr>
            </w:pPr>
            <w:r>
              <w:rPr>
                <w:rFonts w:ascii="宋体" w:hAnsi="宋体"/>
                <w:sz w:val="18"/>
                <w:szCs w:val="18"/>
              </w:rPr>
              <w:t xml:space="preserve">1.3673 </w:t>
            </w:r>
          </w:p>
        </w:tc>
        <w:tc>
          <w:tcPr>
            <w:tcW w:w="744" w:type="dxa"/>
            <w:noWrap/>
          </w:tcPr>
          <w:p w14:paraId="0C7338A5">
            <w:pPr>
              <w:pStyle w:val="39"/>
              <w:rPr>
                <w:rFonts w:ascii="宋体" w:hAnsi="宋体"/>
                <w:sz w:val="18"/>
                <w:szCs w:val="18"/>
              </w:rPr>
            </w:pPr>
            <w:r>
              <w:rPr>
                <w:rFonts w:ascii="宋体" w:hAnsi="宋体"/>
                <w:sz w:val="18"/>
                <w:szCs w:val="18"/>
              </w:rPr>
              <w:t xml:space="preserve">1.2957 </w:t>
            </w:r>
          </w:p>
        </w:tc>
        <w:tc>
          <w:tcPr>
            <w:tcW w:w="744" w:type="dxa"/>
            <w:noWrap/>
          </w:tcPr>
          <w:p w14:paraId="3B50CFFC">
            <w:pPr>
              <w:pStyle w:val="39"/>
              <w:rPr>
                <w:rFonts w:ascii="宋体" w:hAnsi="宋体"/>
                <w:sz w:val="18"/>
                <w:szCs w:val="18"/>
              </w:rPr>
            </w:pPr>
            <w:r>
              <w:rPr>
                <w:rFonts w:ascii="宋体" w:hAnsi="宋体"/>
                <w:sz w:val="18"/>
                <w:szCs w:val="18"/>
              </w:rPr>
              <w:t xml:space="preserve">1.2319 </w:t>
            </w:r>
          </w:p>
        </w:tc>
        <w:tc>
          <w:tcPr>
            <w:tcW w:w="744" w:type="dxa"/>
            <w:noWrap/>
          </w:tcPr>
          <w:p w14:paraId="2647B94F">
            <w:pPr>
              <w:pStyle w:val="39"/>
              <w:rPr>
                <w:rFonts w:ascii="宋体" w:hAnsi="宋体"/>
                <w:sz w:val="18"/>
                <w:szCs w:val="18"/>
              </w:rPr>
            </w:pPr>
            <w:r>
              <w:rPr>
                <w:rFonts w:ascii="宋体" w:hAnsi="宋体"/>
                <w:sz w:val="18"/>
                <w:szCs w:val="18"/>
              </w:rPr>
              <w:t xml:space="preserve">1.1749 </w:t>
            </w:r>
          </w:p>
        </w:tc>
        <w:tc>
          <w:tcPr>
            <w:tcW w:w="744" w:type="dxa"/>
            <w:noWrap/>
          </w:tcPr>
          <w:p w14:paraId="289CDF79">
            <w:pPr>
              <w:pStyle w:val="39"/>
              <w:rPr>
                <w:rFonts w:ascii="宋体" w:hAnsi="宋体"/>
                <w:sz w:val="18"/>
                <w:szCs w:val="18"/>
              </w:rPr>
            </w:pPr>
            <w:r>
              <w:rPr>
                <w:rFonts w:ascii="宋体" w:hAnsi="宋体"/>
                <w:sz w:val="18"/>
                <w:szCs w:val="18"/>
              </w:rPr>
              <w:t xml:space="preserve">1.1236 </w:t>
            </w:r>
          </w:p>
        </w:tc>
        <w:tc>
          <w:tcPr>
            <w:tcW w:w="744" w:type="dxa"/>
            <w:noWrap/>
          </w:tcPr>
          <w:p w14:paraId="2535DB48">
            <w:pPr>
              <w:pStyle w:val="39"/>
              <w:rPr>
                <w:rFonts w:ascii="宋体" w:hAnsi="宋体"/>
                <w:sz w:val="18"/>
                <w:szCs w:val="18"/>
              </w:rPr>
            </w:pPr>
            <w:r>
              <w:rPr>
                <w:rFonts w:ascii="宋体" w:hAnsi="宋体"/>
                <w:sz w:val="18"/>
                <w:szCs w:val="18"/>
              </w:rPr>
              <w:t xml:space="preserve">1.0771 </w:t>
            </w:r>
          </w:p>
        </w:tc>
        <w:tc>
          <w:tcPr>
            <w:tcW w:w="744" w:type="dxa"/>
            <w:noWrap/>
          </w:tcPr>
          <w:p w14:paraId="1E2A2716">
            <w:pPr>
              <w:pStyle w:val="39"/>
              <w:rPr>
                <w:rFonts w:ascii="宋体" w:hAnsi="宋体"/>
                <w:sz w:val="18"/>
                <w:szCs w:val="18"/>
              </w:rPr>
            </w:pPr>
            <w:r>
              <w:rPr>
                <w:rFonts w:ascii="宋体" w:hAnsi="宋体"/>
                <w:sz w:val="18"/>
                <w:szCs w:val="18"/>
              </w:rPr>
              <w:t xml:space="preserve">1.0349 </w:t>
            </w:r>
          </w:p>
        </w:tc>
      </w:tr>
      <w:tr w14:paraId="46353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45" w:type="dxa"/>
            <w:noWrap/>
          </w:tcPr>
          <w:p w14:paraId="36221579">
            <w:pPr>
              <w:pStyle w:val="39"/>
              <w:rPr>
                <w:rFonts w:ascii="宋体" w:hAnsi="宋体"/>
                <w:sz w:val="18"/>
                <w:szCs w:val="18"/>
              </w:rPr>
            </w:pPr>
            <w:r>
              <w:rPr>
                <w:rFonts w:ascii="宋体" w:hAnsi="宋体"/>
                <w:sz w:val="18"/>
                <w:szCs w:val="18"/>
              </w:rPr>
              <w:t xml:space="preserve">0.85 </w:t>
            </w:r>
          </w:p>
        </w:tc>
        <w:tc>
          <w:tcPr>
            <w:tcW w:w="745" w:type="dxa"/>
            <w:noWrap/>
          </w:tcPr>
          <w:p w14:paraId="549EA257">
            <w:pPr>
              <w:pStyle w:val="39"/>
              <w:rPr>
                <w:rFonts w:ascii="宋体" w:hAnsi="宋体"/>
                <w:sz w:val="18"/>
                <w:szCs w:val="18"/>
              </w:rPr>
            </w:pPr>
            <w:r>
              <w:rPr>
                <w:rFonts w:ascii="宋体" w:hAnsi="宋体"/>
                <w:sz w:val="18"/>
                <w:szCs w:val="18"/>
              </w:rPr>
              <w:t xml:space="preserve">1.7665 </w:t>
            </w:r>
          </w:p>
        </w:tc>
        <w:tc>
          <w:tcPr>
            <w:tcW w:w="745" w:type="dxa"/>
            <w:noWrap/>
          </w:tcPr>
          <w:p w14:paraId="64C6C636">
            <w:pPr>
              <w:pStyle w:val="39"/>
              <w:rPr>
                <w:rFonts w:ascii="宋体" w:hAnsi="宋体"/>
                <w:sz w:val="18"/>
                <w:szCs w:val="18"/>
              </w:rPr>
            </w:pPr>
            <w:r>
              <w:rPr>
                <w:rFonts w:ascii="宋体" w:hAnsi="宋体"/>
                <w:sz w:val="18"/>
                <w:szCs w:val="18"/>
              </w:rPr>
              <w:t xml:space="preserve">1.6464 </w:t>
            </w:r>
          </w:p>
        </w:tc>
        <w:tc>
          <w:tcPr>
            <w:tcW w:w="745" w:type="dxa"/>
            <w:noWrap/>
          </w:tcPr>
          <w:p w14:paraId="38AEE0F5">
            <w:pPr>
              <w:pStyle w:val="39"/>
              <w:rPr>
                <w:rFonts w:ascii="宋体" w:hAnsi="宋体"/>
                <w:sz w:val="18"/>
                <w:szCs w:val="18"/>
              </w:rPr>
            </w:pPr>
            <w:r>
              <w:rPr>
                <w:rFonts w:ascii="宋体" w:hAnsi="宋体"/>
                <w:sz w:val="18"/>
                <w:szCs w:val="18"/>
              </w:rPr>
              <w:t xml:space="preserve">1.5425 </w:t>
            </w:r>
          </w:p>
        </w:tc>
        <w:tc>
          <w:tcPr>
            <w:tcW w:w="744" w:type="dxa"/>
            <w:noWrap/>
          </w:tcPr>
          <w:p w14:paraId="27F8DA97">
            <w:pPr>
              <w:pStyle w:val="39"/>
              <w:rPr>
                <w:rFonts w:ascii="宋体" w:hAnsi="宋体"/>
                <w:sz w:val="18"/>
                <w:szCs w:val="18"/>
              </w:rPr>
            </w:pPr>
            <w:r>
              <w:rPr>
                <w:rFonts w:ascii="宋体" w:hAnsi="宋体"/>
                <w:sz w:val="18"/>
                <w:szCs w:val="18"/>
              </w:rPr>
              <w:t xml:space="preserve">1.4520 </w:t>
            </w:r>
          </w:p>
        </w:tc>
        <w:tc>
          <w:tcPr>
            <w:tcW w:w="744" w:type="dxa"/>
            <w:noWrap/>
          </w:tcPr>
          <w:p w14:paraId="10E6A68E">
            <w:pPr>
              <w:pStyle w:val="39"/>
              <w:rPr>
                <w:rFonts w:ascii="宋体" w:hAnsi="宋体"/>
                <w:sz w:val="18"/>
                <w:szCs w:val="18"/>
              </w:rPr>
            </w:pPr>
            <w:r>
              <w:rPr>
                <w:rFonts w:ascii="宋体" w:hAnsi="宋体"/>
                <w:sz w:val="18"/>
                <w:szCs w:val="18"/>
              </w:rPr>
              <w:t xml:space="preserve">1.3726 </w:t>
            </w:r>
          </w:p>
        </w:tc>
        <w:tc>
          <w:tcPr>
            <w:tcW w:w="744" w:type="dxa"/>
            <w:noWrap/>
          </w:tcPr>
          <w:p w14:paraId="7B9044F0">
            <w:pPr>
              <w:pStyle w:val="39"/>
              <w:rPr>
                <w:rFonts w:ascii="宋体" w:hAnsi="宋体"/>
                <w:sz w:val="18"/>
                <w:szCs w:val="18"/>
              </w:rPr>
            </w:pPr>
            <w:r>
              <w:rPr>
                <w:rFonts w:ascii="宋体" w:hAnsi="宋体"/>
                <w:sz w:val="18"/>
                <w:szCs w:val="18"/>
              </w:rPr>
              <w:t xml:space="preserve">1.3025 </w:t>
            </w:r>
          </w:p>
        </w:tc>
        <w:tc>
          <w:tcPr>
            <w:tcW w:w="744" w:type="dxa"/>
            <w:noWrap/>
          </w:tcPr>
          <w:p w14:paraId="68B1A398">
            <w:pPr>
              <w:pStyle w:val="39"/>
              <w:rPr>
                <w:rFonts w:ascii="宋体" w:hAnsi="宋体"/>
                <w:sz w:val="18"/>
                <w:szCs w:val="18"/>
              </w:rPr>
            </w:pPr>
            <w:r>
              <w:rPr>
                <w:rFonts w:ascii="宋体" w:hAnsi="宋体"/>
                <w:sz w:val="18"/>
                <w:szCs w:val="18"/>
              </w:rPr>
              <w:t xml:space="preserve">1.2402 </w:t>
            </w:r>
          </w:p>
        </w:tc>
        <w:tc>
          <w:tcPr>
            <w:tcW w:w="744" w:type="dxa"/>
            <w:noWrap/>
          </w:tcPr>
          <w:p w14:paraId="01DDFA87">
            <w:pPr>
              <w:pStyle w:val="39"/>
              <w:rPr>
                <w:rFonts w:ascii="宋体" w:hAnsi="宋体"/>
                <w:sz w:val="18"/>
                <w:szCs w:val="18"/>
              </w:rPr>
            </w:pPr>
            <w:r>
              <w:rPr>
                <w:rFonts w:ascii="宋体" w:hAnsi="宋体"/>
                <w:sz w:val="18"/>
                <w:szCs w:val="18"/>
              </w:rPr>
              <w:t xml:space="preserve">1.1844 </w:t>
            </w:r>
          </w:p>
        </w:tc>
        <w:tc>
          <w:tcPr>
            <w:tcW w:w="744" w:type="dxa"/>
            <w:noWrap/>
          </w:tcPr>
          <w:p w14:paraId="3BE0CDA2">
            <w:pPr>
              <w:pStyle w:val="39"/>
              <w:rPr>
                <w:rFonts w:ascii="宋体" w:hAnsi="宋体"/>
                <w:sz w:val="18"/>
                <w:szCs w:val="18"/>
              </w:rPr>
            </w:pPr>
            <w:r>
              <w:rPr>
                <w:rFonts w:ascii="宋体" w:hAnsi="宋体"/>
                <w:sz w:val="18"/>
                <w:szCs w:val="18"/>
              </w:rPr>
              <w:t xml:space="preserve">1.1343 </w:t>
            </w:r>
          </w:p>
        </w:tc>
        <w:tc>
          <w:tcPr>
            <w:tcW w:w="744" w:type="dxa"/>
            <w:noWrap/>
          </w:tcPr>
          <w:p w14:paraId="3A3D895C">
            <w:pPr>
              <w:pStyle w:val="39"/>
              <w:rPr>
                <w:rFonts w:ascii="宋体" w:hAnsi="宋体"/>
                <w:sz w:val="18"/>
                <w:szCs w:val="18"/>
              </w:rPr>
            </w:pPr>
            <w:r>
              <w:rPr>
                <w:rFonts w:ascii="宋体" w:hAnsi="宋体"/>
                <w:sz w:val="18"/>
                <w:szCs w:val="18"/>
              </w:rPr>
              <w:t xml:space="preserve">1.0889 </w:t>
            </w:r>
          </w:p>
        </w:tc>
        <w:tc>
          <w:tcPr>
            <w:tcW w:w="744" w:type="dxa"/>
            <w:noWrap/>
          </w:tcPr>
          <w:p w14:paraId="65CB602B">
            <w:pPr>
              <w:pStyle w:val="39"/>
              <w:rPr>
                <w:rFonts w:ascii="宋体" w:hAnsi="宋体"/>
                <w:sz w:val="18"/>
                <w:szCs w:val="18"/>
              </w:rPr>
            </w:pPr>
            <w:r>
              <w:rPr>
                <w:rFonts w:ascii="宋体" w:hAnsi="宋体"/>
                <w:sz w:val="18"/>
                <w:szCs w:val="18"/>
              </w:rPr>
              <w:t xml:space="preserve">1.0477 </w:t>
            </w:r>
          </w:p>
        </w:tc>
      </w:tr>
      <w:tr w14:paraId="30321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45" w:type="dxa"/>
            <w:noWrap/>
          </w:tcPr>
          <w:p w14:paraId="01CB344B">
            <w:pPr>
              <w:pStyle w:val="39"/>
              <w:rPr>
                <w:rFonts w:ascii="宋体" w:hAnsi="宋体"/>
                <w:sz w:val="18"/>
                <w:szCs w:val="18"/>
              </w:rPr>
            </w:pPr>
            <w:r>
              <w:rPr>
                <w:rFonts w:ascii="宋体" w:hAnsi="宋体"/>
                <w:sz w:val="18"/>
                <w:szCs w:val="18"/>
              </w:rPr>
              <w:t xml:space="preserve">0.90 </w:t>
            </w:r>
          </w:p>
        </w:tc>
        <w:tc>
          <w:tcPr>
            <w:tcW w:w="745" w:type="dxa"/>
            <w:noWrap/>
          </w:tcPr>
          <w:p w14:paraId="6BA1C702">
            <w:pPr>
              <w:pStyle w:val="39"/>
              <w:rPr>
                <w:rFonts w:ascii="宋体" w:hAnsi="宋体"/>
                <w:sz w:val="18"/>
                <w:szCs w:val="18"/>
              </w:rPr>
            </w:pPr>
            <w:r>
              <w:rPr>
                <w:rFonts w:ascii="宋体" w:hAnsi="宋体"/>
                <w:sz w:val="18"/>
                <w:szCs w:val="18"/>
              </w:rPr>
              <w:t xml:space="preserve">1.7591 </w:t>
            </w:r>
          </w:p>
        </w:tc>
        <w:tc>
          <w:tcPr>
            <w:tcW w:w="745" w:type="dxa"/>
            <w:noWrap/>
          </w:tcPr>
          <w:p w14:paraId="385C868C">
            <w:pPr>
              <w:pStyle w:val="39"/>
              <w:rPr>
                <w:rFonts w:ascii="宋体" w:hAnsi="宋体"/>
                <w:sz w:val="18"/>
                <w:szCs w:val="18"/>
              </w:rPr>
            </w:pPr>
            <w:r>
              <w:rPr>
                <w:rFonts w:ascii="宋体" w:hAnsi="宋体"/>
                <w:sz w:val="18"/>
                <w:szCs w:val="18"/>
              </w:rPr>
              <w:t xml:space="preserve">1.6414 </w:t>
            </w:r>
          </w:p>
        </w:tc>
        <w:tc>
          <w:tcPr>
            <w:tcW w:w="745" w:type="dxa"/>
            <w:noWrap/>
          </w:tcPr>
          <w:p w14:paraId="50A28C23">
            <w:pPr>
              <w:pStyle w:val="39"/>
              <w:rPr>
                <w:rFonts w:ascii="宋体" w:hAnsi="宋体"/>
                <w:sz w:val="18"/>
                <w:szCs w:val="18"/>
              </w:rPr>
            </w:pPr>
            <w:r>
              <w:rPr>
                <w:rFonts w:ascii="宋体" w:hAnsi="宋体"/>
                <w:sz w:val="18"/>
                <w:szCs w:val="18"/>
              </w:rPr>
              <w:t xml:space="preserve">1.5398 </w:t>
            </w:r>
          </w:p>
        </w:tc>
        <w:tc>
          <w:tcPr>
            <w:tcW w:w="744" w:type="dxa"/>
            <w:noWrap/>
          </w:tcPr>
          <w:p w14:paraId="06E70E68">
            <w:pPr>
              <w:pStyle w:val="39"/>
              <w:rPr>
                <w:rFonts w:ascii="宋体" w:hAnsi="宋体"/>
                <w:sz w:val="18"/>
                <w:szCs w:val="18"/>
              </w:rPr>
            </w:pPr>
            <w:r>
              <w:rPr>
                <w:rFonts w:ascii="宋体" w:hAnsi="宋体"/>
                <w:sz w:val="18"/>
                <w:szCs w:val="18"/>
              </w:rPr>
              <w:t xml:space="preserve">1.4514 </w:t>
            </w:r>
          </w:p>
        </w:tc>
        <w:tc>
          <w:tcPr>
            <w:tcW w:w="744" w:type="dxa"/>
            <w:noWrap/>
          </w:tcPr>
          <w:p w14:paraId="692070A3">
            <w:pPr>
              <w:pStyle w:val="39"/>
              <w:rPr>
                <w:rFonts w:ascii="宋体" w:hAnsi="宋体"/>
                <w:sz w:val="18"/>
                <w:szCs w:val="18"/>
              </w:rPr>
            </w:pPr>
            <w:r>
              <w:rPr>
                <w:rFonts w:ascii="宋体" w:hAnsi="宋体"/>
                <w:sz w:val="18"/>
                <w:szCs w:val="18"/>
              </w:rPr>
              <w:t xml:space="preserve">1.3739 </w:t>
            </w:r>
          </w:p>
        </w:tc>
        <w:tc>
          <w:tcPr>
            <w:tcW w:w="744" w:type="dxa"/>
            <w:noWrap/>
          </w:tcPr>
          <w:p w14:paraId="1C8E1AA6">
            <w:pPr>
              <w:pStyle w:val="39"/>
              <w:rPr>
                <w:rFonts w:ascii="宋体" w:hAnsi="宋体"/>
                <w:sz w:val="18"/>
                <w:szCs w:val="18"/>
              </w:rPr>
            </w:pPr>
            <w:r>
              <w:rPr>
                <w:rFonts w:ascii="宋体" w:hAnsi="宋体"/>
                <w:sz w:val="18"/>
                <w:szCs w:val="18"/>
              </w:rPr>
              <w:t xml:space="preserve">1.3056 </w:t>
            </w:r>
          </w:p>
        </w:tc>
        <w:tc>
          <w:tcPr>
            <w:tcW w:w="744" w:type="dxa"/>
            <w:noWrap/>
          </w:tcPr>
          <w:p w14:paraId="12A10855">
            <w:pPr>
              <w:pStyle w:val="39"/>
              <w:rPr>
                <w:rFonts w:ascii="宋体" w:hAnsi="宋体"/>
                <w:sz w:val="18"/>
                <w:szCs w:val="18"/>
              </w:rPr>
            </w:pPr>
            <w:r>
              <w:rPr>
                <w:rFonts w:ascii="宋体" w:hAnsi="宋体"/>
                <w:sz w:val="18"/>
                <w:szCs w:val="18"/>
              </w:rPr>
              <w:t xml:space="preserve">1.2449 </w:t>
            </w:r>
          </w:p>
        </w:tc>
        <w:tc>
          <w:tcPr>
            <w:tcW w:w="744" w:type="dxa"/>
            <w:noWrap/>
          </w:tcPr>
          <w:p w14:paraId="46C956EE">
            <w:pPr>
              <w:pStyle w:val="39"/>
              <w:rPr>
                <w:rFonts w:ascii="宋体" w:hAnsi="宋体"/>
                <w:sz w:val="18"/>
                <w:szCs w:val="18"/>
              </w:rPr>
            </w:pPr>
            <w:r>
              <w:rPr>
                <w:rFonts w:ascii="宋体" w:hAnsi="宋体"/>
                <w:sz w:val="18"/>
                <w:szCs w:val="18"/>
              </w:rPr>
              <w:t xml:space="preserve">1.1906 </w:t>
            </w:r>
          </w:p>
        </w:tc>
        <w:tc>
          <w:tcPr>
            <w:tcW w:w="744" w:type="dxa"/>
            <w:noWrap/>
          </w:tcPr>
          <w:p w14:paraId="3518CF30">
            <w:pPr>
              <w:pStyle w:val="39"/>
              <w:rPr>
                <w:rFonts w:ascii="宋体" w:hAnsi="宋体"/>
                <w:sz w:val="18"/>
                <w:szCs w:val="18"/>
              </w:rPr>
            </w:pPr>
            <w:r>
              <w:rPr>
                <w:rFonts w:ascii="宋体" w:hAnsi="宋体"/>
                <w:sz w:val="18"/>
                <w:szCs w:val="18"/>
              </w:rPr>
              <w:t xml:space="preserve">1.1418 </w:t>
            </w:r>
          </w:p>
        </w:tc>
        <w:tc>
          <w:tcPr>
            <w:tcW w:w="744" w:type="dxa"/>
            <w:noWrap/>
          </w:tcPr>
          <w:p w14:paraId="13D13F67">
            <w:pPr>
              <w:pStyle w:val="39"/>
              <w:rPr>
                <w:rFonts w:ascii="宋体" w:hAnsi="宋体"/>
                <w:sz w:val="18"/>
                <w:szCs w:val="18"/>
              </w:rPr>
            </w:pPr>
            <w:r>
              <w:rPr>
                <w:rFonts w:ascii="宋体" w:hAnsi="宋体"/>
                <w:sz w:val="18"/>
                <w:szCs w:val="18"/>
              </w:rPr>
              <w:t xml:space="preserve">1.0977 </w:t>
            </w:r>
          </w:p>
        </w:tc>
        <w:tc>
          <w:tcPr>
            <w:tcW w:w="744" w:type="dxa"/>
            <w:noWrap/>
          </w:tcPr>
          <w:p w14:paraId="5D7A1986">
            <w:pPr>
              <w:pStyle w:val="39"/>
              <w:rPr>
                <w:rFonts w:ascii="宋体" w:hAnsi="宋体"/>
                <w:sz w:val="18"/>
                <w:szCs w:val="18"/>
              </w:rPr>
            </w:pPr>
            <w:r>
              <w:rPr>
                <w:rFonts w:ascii="宋体" w:hAnsi="宋体"/>
                <w:sz w:val="18"/>
                <w:szCs w:val="18"/>
              </w:rPr>
              <w:t xml:space="preserve">1.0576 </w:t>
            </w:r>
          </w:p>
        </w:tc>
      </w:tr>
      <w:tr w14:paraId="0198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45" w:type="dxa"/>
            <w:noWrap/>
          </w:tcPr>
          <w:p w14:paraId="0BE89E08">
            <w:pPr>
              <w:pStyle w:val="39"/>
              <w:rPr>
                <w:rFonts w:ascii="宋体" w:hAnsi="宋体"/>
                <w:sz w:val="18"/>
                <w:szCs w:val="18"/>
              </w:rPr>
            </w:pPr>
            <w:r>
              <w:rPr>
                <w:rFonts w:ascii="宋体" w:hAnsi="宋体"/>
                <w:sz w:val="18"/>
                <w:szCs w:val="18"/>
              </w:rPr>
              <w:t xml:space="preserve">0.95 </w:t>
            </w:r>
          </w:p>
        </w:tc>
        <w:tc>
          <w:tcPr>
            <w:tcW w:w="745" w:type="dxa"/>
            <w:noWrap/>
          </w:tcPr>
          <w:p w14:paraId="76035632">
            <w:pPr>
              <w:pStyle w:val="39"/>
              <w:rPr>
                <w:rFonts w:ascii="宋体" w:hAnsi="宋体"/>
                <w:sz w:val="18"/>
                <w:szCs w:val="18"/>
              </w:rPr>
            </w:pPr>
            <w:r>
              <w:rPr>
                <w:rFonts w:ascii="宋体" w:hAnsi="宋体"/>
                <w:sz w:val="18"/>
                <w:szCs w:val="18"/>
              </w:rPr>
              <w:t xml:space="preserve">1.7473 </w:t>
            </w:r>
          </w:p>
        </w:tc>
        <w:tc>
          <w:tcPr>
            <w:tcW w:w="745" w:type="dxa"/>
            <w:noWrap/>
          </w:tcPr>
          <w:p w14:paraId="790EAC54">
            <w:pPr>
              <w:pStyle w:val="39"/>
              <w:rPr>
                <w:rFonts w:ascii="宋体" w:hAnsi="宋体"/>
                <w:sz w:val="18"/>
                <w:szCs w:val="18"/>
              </w:rPr>
            </w:pPr>
            <w:r>
              <w:rPr>
                <w:rFonts w:ascii="宋体" w:hAnsi="宋体"/>
                <w:sz w:val="18"/>
                <w:szCs w:val="18"/>
              </w:rPr>
              <w:t xml:space="preserve">1.6324 </w:t>
            </w:r>
          </w:p>
        </w:tc>
        <w:tc>
          <w:tcPr>
            <w:tcW w:w="745" w:type="dxa"/>
            <w:noWrap/>
          </w:tcPr>
          <w:p w14:paraId="42F60F92">
            <w:pPr>
              <w:pStyle w:val="39"/>
              <w:rPr>
                <w:rFonts w:ascii="宋体" w:hAnsi="宋体"/>
                <w:sz w:val="18"/>
                <w:szCs w:val="18"/>
              </w:rPr>
            </w:pPr>
            <w:r>
              <w:rPr>
                <w:rFonts w:ascii="宋体" w:hAnsi="宋体"/>
                <w:sz w:val="18"/>
                <w:szCs w:val="18"/>
              </w:rPr>
              <w:t xml:space="preserve">1.5333 </w:t>
            </w:r>
          </w:p>
        </w:tc>
        <w:tc>
          <w:tcPr>
            <w:tcW w:w="744" w:type="dxa"/>
            <w:noWrap/>
          </w:tcPr>
          <w:p w14:paraId="74C03405">
            <w:pPr>
              <w:pStyle w:val="39"/>
              <w:rPr>
                <w:rFonts w:ascii="宋体" w:hAnsi="宋体"/>
                <w:sz w:val="18"/>
                <w:szCs w:val="18"/>
              </w:rPr>
            </w:pPr>
            <w:r>
              <w:rPr>
                <w:rFonts w:ascii="宋体" w:hAnsi="宋体"/>
                <w:sz w:val="18"/>
                <w:szCs w:val="18"/>
              </w:rPr>
              <w:t xml:space="preserve">1.4472 </w:t>
            </w:r>
          </w:p>
        </w:tc>
        <w:tc>
          <w:tcPr>
            <w:tcW w:w="744" w:type="dxa"/>
            <w:noWrap/>
          </w:tcPr>
          <w:p w14:paraId="0C9897CF">
            <w:pPr>
              <w:pStyle w:val="39"/>
              <w:rPr>
                <w:rFonts w:ascii="宋体" w:hAnsi="宋体"/>
                <w:sz w:val="18"/>
                <w:szCs w:val="18"/>
              </w:rPr>
            </w:pPr>
            <w:r>
              <w:rPr>
                <w:rFonts w:ascii="宋体" w:hAnsi="宋体"/>
                <w:sz w:val="18"/>
                <w:szCs w:val="18"/>
              </w:rPr>
              <w:t xml:space="preserve">1.3719 </w:t>
            </w:r>
          </w:p>
        </w:tc>
        <w:tc>
          <w:tcPr>
            <w:tcW w:w="744" w:type="dxa"/>
            <w:noWrap/>
          </w:tcPr>
          <w:p w14:paraId="55049A91">
            <w:pPr>
              <w:pStyle w:val="39"/>
              <w:rPr>
                <w:rFonts w:ascii="宋体" w:hAnsi="宋体"/>
                <w:sz w:val="18"/>
                <w:szCs w:val="18"/>
              </w:rPr>
            </w:pPr>
            <w:r>
              <w:rPr>
                <w:rFonts w:ascii="宋体" w:hAnsi="宋体"/>
                <w:sz w:val="18"/>
                <w:szCs w:val="18"/>
              </w:rPr>
              <w:t xml:space="preserve">1.3055 </w:t>
            </w:r>
          </w:p>
        </w:tc>
        <w:tc>
          <w:tcPr>
            <w:tcW w:w="744" w:type="dxa"/>
            <w:noWrap/>
          </w:tcPr>
          <w:p w14:paraId="2CAA999F">
            <w:pPr>
              <w:pStyle w:val="39"/>
              <w:rPr>
                <w:rFonts w:ascii="宋体" w:hAnsi="宋体"/>
                <w:sz w:val="18"/>
                <w:szCs w:val="18"/>
              </w:rPr>
            </w:pPr>
            <w:r>
              <w:rPr>
                <w:rFonts w:ascii="宋体" w:hAnsi="宋体"/>
                <w:sz w:val="18"/>
                <w:szCs w:val="18"/>
              </w:rPr>
              <w:t xml:space="preserve">1.2466 </w:t>
            </w:r>
          </w:p>
        </w:tc>
        <w:tc>
          <w:tcPr>
            <w:tcW w:w="744" w:type="dxa"/>
            <w:noWrap/>
          </w:tcPr>
          <w:p w14:paraId="27D446A6">
            <w:pPr>
              <w:pStyle w:val="39"/>
              <w:rPr>
                <w:rFonts w:ascii="宋体" w:hAnsi="宋体"/>
                <w:sz w:val="18"/>
                <w:szCs w:val="18"/>
              </w:rPr>
            </w:pPr>
            <w:r>
              <w:rPr>
                <w:rFonts w:ascii="宋体" w:hAnsi="宋体"/>
                <w:sz w:val="18"/>
                <w:szCs w:val="18"/>
              </w:rPr>
              <w:t xml:space="preserve">1.1940 </w:t>
            </w:r>
          </w:p>
        </w:tc>
        <w:tc>
          <w:tcPr>
            <w:tcW w:w="744" w:type="dxa"/>
            <w:noWrap/>
          </w:tcPr>
          <w:p w14:paraId="15A718A3">
            <w:pPr>
              <w:pStyle w:val="39"/>
              <w:rPr>
                <w:rFonts w:ascii="宋体" w:hAnsi="宋体"/>
                <w:sz w:val="18"/>
                <w:szCs w:val="18"/>
              </w:rPr>
            </w:pPr>
            <w:r>
              <w:rPr>
                <w:rFonts w:ascii="宋体" w:hAnsi="宋体"/>
                <w:sz w:val="18"/>
                <w:szCs w:val="18"/>
              </w:rPr>
              <w:t xml:space="preserve">1.1468 </w:t>
            </w:r>
          </w:p>
        </w:tc>
        <w:tc>
          <w:tcPr>
            <w:tcW w:w="744" w:type="dxa"/>
            <w:noWrap/>
          </w:tcPr>
          <w:p w14:paraId="4668DFE2">
            <w:pPr>
              <w:pStyle w:val="39"/>
              <w:rPr>
                <w:rFonts w:ascii="宋体" w:hAnsi="宋体"/>
                <w:sz w:val="18"/>
                <w:szCs w:val="18"/>
              </w:rPr>
            </w:pPr>
            <w:r>
              <w:rPr>
                <w:rFonts w:ascii="宋体" w:hAnsi="宋体"/>
                <w:sz w:val="18"/>
                <w:szCs w:val="18"/>
              </w:rPr>
              <w:t xml:space="preserve">1.1041 </w:t>
            </w:r>
          </w:p>
        </w:tc>
        <w:tc>
          <w:tcPr>
            <w:tcW w:w="744" w:type="dxa"/>
            <w:noWrap/>
          </w:tcPr>
          <w:p w14:paraId="4061C38F">
            <w:pPr>
              <w:pStyle w:val="39"/>
              <w:rPr>
                <w:rFonts w:ascii="宋体" w:hAnsi="宋体"/>
                <w:sz w:val="18"/>
                <w:szCs w:val="18"/>
              </w:rPr>
            </w:pPr>
            <w:r>
              <w:rPr>
                <w:rFonts w:ascii="宋体" w:hAnsi="宋体"/>
                <w:sz w:val="18"/>
                <w:szCs w:val="18"/>
              </w:rPr>
              <w:t xml:space="preserve">1.0652 </w:t>
            </w:r>
          </w:p>
        </w:tc>
      </w:tr>
      <w:tr w14:paraId="7B9DA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45" w:type="dxa"/>
            <w:noWrap/>
          </w:tcPr>
          <w:p w14:paraId="4204D286">
            <w:pPr>
              <w:pStyle w:val="39"/>
              <w:rPr>
                <w:rFonts w:ascii="宋体" w:hAnsi="宋体"/>
                <w:sz w:val="18"/>
                <w:szCs w:val="18"/>
              </w:rPr>
            </w:pPr>
            <w:r>
              <w:rPr>
                <w:rFonts w:ascii="宋体" w:hAnsi="宋体"/>
                <w:sz w:val="18"/>
                <w:szCs w:val="18"/>
              </w:rPr>
              <w:t xml:space="preserve">1.00 </w:t>
            </w:r>
          </w:p>
        </w:tc>
        <w:tc>
          <w:tcPr>
            <w:tcW w:w="745" w:type="dxa"/>
            <w:noWrap/>
          </w:tcPr>
          <w:p w14:paraId="4E0D31A0">
            <w:pPr>
              <w:pStyle w:val="39"/>
              <w:rPr>
                <w:rFonts w:ascii="宋体" w:hAnsi="宋体"/>
                <w:sz w:val="18"/>
                <w:szCs w:val="18"/>
              </w:rPr>
            </w:pPr>
            <w:r>
              <w:rPr>
                <w:rFonts w:ascii="宋体" w:hAnsi="宋体"/>
                <w:sz w:val="18"/>
                <w:szCs w:val="18"/>
              </w:rPr>
              <w:t xml:space="preserve">1.7320 </w:t>
            </w:r>
          </w:p>
        </w:tc>
        <w:tc>
          <w:tcPr>
            <w:tcW w:w="745" w:type="dxa"/>
            <w:noWrap/>
          </w:tcPr>
          <w:p w14:paraId="6B35AF59">
            <w:pPr>
              <w:pStyle w:val="39"/>
              <w:rPr>
                <w:rFonts w:ascii="宋体" w:hAnsi="宋体"/>
                <w:sz w:val="18"/>
                <w:szCs w:val="18"/>
              </w:rPr>
            </w:pPr>
            <w:r>
              <w:rPr>
                <w:rFonts w:ascii="宋体" w:hAnsi="宋体"/>
                <w:sz w:val="18"/>
                <w:szCs w:val="18"/>
              </w:rPr>
              <w:t xml:space="preserve">1.6201 </w:t>
            </w:r>
          </w:p>
        </w:tc>
        <w:tc>
          <w:tcPr>
            <w:tcW w:w="745" w:type="dxa"/>
            <w:noWrap/>
          </w:tcPr>
          <w:p w14:paraId="0594DC93">
            <w:pPr>
              <w:pStyle w:val="39"/>
              <w:rPr>
                <w:rFonts w:ascii="宋体" w:hAnsi="宋体"/>
                <w:sz w:val="18"/>
                <w:szCs w:val="18"/>
              </w:rPr>
            </w:pPr>
            <w:r>
              <w:rPr>
                <w:rFonts w:ascii="宋体" w:hAnsi="宋体"/>
                <w:sz w:val="18"/>
                <w:szCs w:val="18"/>
              </w:rPr>
              <w:t xml:space="preserve">1.5237 </w:t>
            </w:r>
          </w:p>
        </w:tc>
        <w:tc>
          <w:tcPr>
            <w:tcW w:w="744" w:type="dxa"/>
            <w:noWrap/>
          </w:tcPr>
          <w:p w14:paraId="3ADEB4F7">
            <w:pPr>
              <w:pStyle w:val="39"/>
              <w:rPr>
                <w:rFonts w:ascii="宋体" w:hAnsi="宋体"/>
                <w:sz w:val="18"/>
                <w:szCs w:val="18"/>
              </w:rPr>
            </w:pPr>
            <w:r>
              <w:rPr>
                <w:rFonts w:ascii="宋体" w:hAnsi="宋体"/>
                <w:sz w:val="18"/>
                <w:szCs w:val="18"/>
              </w:rPr>
              <w:t xml:space="preserve">1.4401 </w:t>
            </w:r>
          </w:p>
        </w:tc>
        <w:tc>
          <w:tcPr>
            <w:tcW w:w="744" w:type="dxa"/>
            <w:noWrap/>
          </w:tcPr>
          <w:p w14:paraId="0CD13F1A">
            <w:pPr>
              <w:pStyle w:val="39"/>
              <w:rPr>
                <w:rFonts w:ascii="宋体" w:hAnsi="宋体"/>
                <w:sz w:val="18"/>
                <w:szCs w:val="18"/>
              </w:rPr>
            </w:pPr>
            <w:r>
              <w:rPr>
                <w:rFonts w:ascii="宋体" w:hAnsi="宋体"/>
                <w:sz w:val="18"/>
                <w:szCs w:val="18"/>
              </w:rPr>
              <w:t xml:space="preserve">1.3671 </w:t>
            </w:r>
          </w:p>
        </w:tc>
        <w:tc>
          <w:tcPr>
            <w:tcW w:w="744" w:type="dxa"/>
            <w:noWrap/>
          </w:tcPr>
          <w:p w14:paraId="526E73FA">
            <w:pPr>
              <w:pStyle w:val="39"/>
              <w:rPr>
                <w:rFonts w:ascii="宋体" w:hAnsi="宋体"/>
                <w:sz w:val="18"/>
                <w:szCs w:val="18"/>
              </w:rPr>
            </w:pPr>
            <w:r>
              <w:rPr>
                <w:rFonts w:ascii="宋体" w:hAnsi="宋体"/>
                <w:sz w:val="18"/>
                <w:szCs w:val="18"/>
              </w:rPr>
              <w:t xml:space="preserve">1.3028 </w:t>
            </w:r>
          </w:p>
        </w:tc>
        <w:tc>
          <w:tcPr>
            <w:tcW w:w="744" w:type="dxa"/>
            <w:noWrap/>
          </w:tcPr>
          <w:p w14:paraId="72642C1D">
            <w:pPr>
              <w:pStyle w:val="39"/>
              <w:rPr>
                <w:rFonts w:ascii="宋体" w:hAnsi="宋体"/>
                <w:sz w:val="18"/>
                <w:szCs w:val="18"/>
              </w:rPr>
            </w:pPr>
            <w:r>
              <w:rPr>
                <w:rFonts w:ascii="宋体" w:hAnsi="宋体"/>
                <w:sz w:val="18"/>
                <w:szCs w:val="18"/>
              </w:rPr>
              <w:t xml:space="preserve">1.2459 </w:t>
            </w:r>
          </w:p>
        </w:tc>
        <w:tc>
          <w:tcPr>
            <w:tcW w:w="744" w:type="dxa"/>
            <w:noWrap/>
          </w:tcPr>
          <w:p w14:paraId="07FD3CC4">
            <w:pPr>
              <w:pStyle w:val="39"/>
              <w:rPr>
                <w:rFonts w:ascii="宋体" w:hAnsi="宋体"/>
                <w:sz w:val="18"/>
                <w:szCs w:val="18"/>
              </w:rPr>
            </w:pPr>
            <w:r>
              <w:rPr>
                <w:rFonts w:ascii="宋体" w:hAnsi="宋体"/>
                <w:sz w:val="18"/>
                <w:szCs w:val="18"/>
              </w:rPr>
              <w:t xml:space="preserve">1.1951 </w:t>
            </w:r>
          </w:p>
        </w:tc>
        <w:tc>
          <w:tcPr>
            <w:tcW w:w="744" w:type="dxa"/>
            <w:noWrap/>
          </w:tcPr>
          <w:p w14:paraId="1910D1CB">
            <w:pPr>
              <w:pStyle w:val="39"/>
              <w:rPr>
                <w:rFonts w:ascii="宋体" w:hAnsi="宋体"/>
                <w:sz w:val="18"/>
                <w:szCs w:val="18"/>
              </w:rPr>
            </w:pPr>
            <w:r>
              <w:rPr>
                <w:rFonts w:ascii="宋体" w:hAnsi="宋体"/>
                <w:sz w:val="18"/>
                <w:szCs w:val="18"/>
              </w:rPr>
              <w:t xml:space="preserve">1.1495 </w:t>
            </w:r>
          </w:p>
        </w:tc>
        <w:tc>
          <w:tcPr>
            <w:tcW w:w="744" w:type="dxa"/>
            <w:noWrap/>
          </w:tcPr>
          <w:p w14:paraId="354D2121">
            <w:pPr>
              <w:pStyle w:val="39"/>
              <w:rPr>
                <w:rFonts w:ascii="宋体" w:hAnsi="宋体"/>
                <w:sz w:val="18"/>
                <w:szCs w:val="18"/>
              </w:rPr>
            </w:pPr>
            <w:r>
              <w:rPr>
                <w:rFonts w:ascii="宋体" w:hAnsi="宋体"/>
                <w:sz w:val="18"/>
                <w:szCs w:val="18"/>
              </w:rPr>
              <w:t xml:space="preserve">1.1083 </w:t>
            </w:r>
          </w:p>
        </w:tc>
        <w:tc>
          <w:tcPr>
            <w:tcW w:w="744" w:type="dxa"/>
            <w:noWrap/>
          </w:tcPr>
          <w:p w14:paraId="6AFCB44B">
            <w:pPr>
              <w:pStyle w:val="39"/>
              <w:rPr>
                <w:rFonts w:ascii="宋体" w:hAnsi="宋体"/>
                <w:sz w:val="18"/>
                <w:szCs w:val="18"/>
              </w:rPr>
            </w:pPr>
            <w:r>
              <w:rPr>
                <w:rFonts w:ascii="宋体" w:hAnsi="宋体"/>
                <w:sz w:val="18"/>
                <w:szCs w:val="18"/>
              </w:rPr>
              <w:t xml:space="preserve">1.0709 </w:t>
            </w:r>
          </w:p>
        </w:tc>
      </w:tr>
    </w:tbl>
    <w:p w14:paraId="69616948">
      <w:pPr>
        <w:spacing w:before="156"/>
        <w:ind w:firstLine="480"/>
        <w:jc w:val="center"/>
        <w:rPr>
          <w:rFonts w:cs="Times New Roman"/>
          <w:szCs w:val="21"/>
        </w:rPr>
      </w:pPr>
    </w:p>
    <w:p w14:paraId="5910F042">
      <w:pPr>
        <w:pStyle w:val="39"/>
      </w:pPr>
      <w:r>
        <w:t>表B.0.2-5正矢脉冲的</w:t>
      </w:r>
      <w:r>
        <w:rPr>
          <w:i/>
        </w:rPr>
        <w:t>η</w:t>
      </w:r>
      <w:r>
        <w:rPr>
          <w:vertAlign w:val="subscript"/>
        </w:rPr>
        <w:t>max</w:t>
      </w:r>
      <w:r>
        <w:t>值</w:t>
      </w:r>
    </w:p>
    <w:tbl>
      <w:tblPr>
        <w:tblStyle w:val="32"/>
        <w:tblW w:w="89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756"/>
        <w:gridCol w:w="756"/>
        <w:gridCol w:w="756"/>
        <w:gridCol w:w="756"/>
        <w:gridCol w:w="756"/>
        <w:gridCol w:w="756"/>
        <w:gridCol w:w="756"/>
        <w:gridCol w:w="756"/>
        <w:gridCol w:w="756"/>
        <w:gridCol w:w="756"/>
        <w:gridCol w:w="756"/>
      </w:tblGrid>
      <w:tr w14:paraId="05D3D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45" w:type="dxa"/>
            <w:tcBorders>
              <w:tl2br w:val="single" w:color="auto" w:sz="4" w:space="0"/>
            </w:tcBorders>
            <w:noWrap/>
          </w:tcPr>
          <w:p w14:paraId="79DDEC8A">
            <w:pPr>
              <w:pStyle w:val="39"/>
              <w:jc w:val="right"/>
              <w:rPr>
                <w:rFonts w:ascii="宋体" w:hAnsi="宋体"/>
                <w:sz w:val="18"/>
                <w:szCs w:val="18"/>
              </w:rPr>
            </w:pPr>
            <w:r>
              <w:rPr>
                <w:rFonts w:ascii="宋体" w:hAnsi="宋体"/>
                <w:sz w:val="18"/>
                <w:szCs w:val="18"/>
              </w:rPr>
              <w:t>ζ</w:t>
            </w:r>
          </w:p>
          <w:p w14:paraId="51C85ECC">
            <w:pPr>
              <w:pStyle w:val="39"/>
              <w:jc w:val="left"/>
              <w:rPr>
                <w:rFonts w:ascii="宋体" w:hAnsi="宋体"/>
                <w:sz w:val="18"/>
                <w:szCs w:val="18"/>
              </w:rPr>
            </w:pPr>
            <w:r>
              <w:rPr>
                <w:rFonts w:ascii="宋体" w:hAnsi="宋体"/>
                <w:sz w:val="18"/>
                <w:szCs w:val="18"/>
              </w:rPr>
              <w:t>t</w:t>
            </w:r>
            <w:r>
              <w:rPr>
                <w:rFonts w:ascii="宋体" w:hAnsi="宋体"/>
                <w:sz w:val="18"/>
                <w:szCs w:val="18"/>
                <w:vertAlign w:val="subscript"/>
              </w:rPr>
              <w:t>o</w:t>
            </w:r>
            <w:r>
              <w:rPr>
                <w:rFonts w:ascii="宋体" w:hAnsi="宋体"/>
                <w:sz w:val="18"/>
                <w:szCs w:val="18"/>
              </w:rPr>
              <w:t>/T</w:t>
            </w:r>
            <w:r>
              <w:rPr>
                <w:rFonts w:ascii="宋体" w:hAnsi="宋体"/>
                <w:sz w:val="18"/>
                <w:szCs w:val="18"/>
                <w:vertAlign w:val="subscript"/>
              </w:rPr>
              <w:t>n</w:t>
            </w:r>
          </w:p>
        </w:tc>
        <w:tc>
          <w:tcPr>
            <w:tcW w:w="745" w:type="dxa"/>
            <w:noWrap/>
            <w:vAlign w:val="center"/>
          </w:tcPr>
          <w:p w14:paraId="0EE98AE9">
            <w:pPr>
              <w:pStyle w:val="39"/>
              <w:rPr>
                <w:rFonts w:ascii="宋体" w:hAnsi="宋体"/>
                <w:sz w:val="18"/>
                <w:szCs w:val="18"/>
              </w:rPr>
            </w:pPr>
            <w:r>
              <w:rPr>
                <w:rFonts w:ascii="宋体" w:hAnsi="宋体"/>
                <w:sz w:val="18"/>
                <w:szCs w:val="18"/>
              </w:rPr>
              <w:t>0.00</w:t>
            </w:r>
          </w:p>
        </w:tc>
        <w:tc>
          <w:tcPr>
            <w:tcW w:w="745" w:type="dxa"/>
            <w:noWrap/>
            <w:vAlign w:val="center"/>
          </w:tcPr>
          <w:p w14:paraId="3082B51B">
            <w:pPr>
              <w:pStyle w:val="39"/>
              <w:rPr>
                <w:rFonts w:ascii="宋体" w:hAnsi="宋体"/>
                <w:sz w:val="18"/>
                <w:szCs w:val="18"/>
              </w:rPr>
            </w:pPr>
            <w:r>
              <w:rPr>
                <w:rFonts w:ascii="宋体" w:hAnsi="宋体"/>
                <w:sz w:val="18"/>
                <w:szCs w:val="18"/>
              </w:rPr>
              <w:t>0.05</w:t>
            </w:r>
          </w:p>
        </w:tc>
        <w:tc>
          <w:tcPr>
            <w:tcW w:w="745" w:type="dxa"/>
            <w:noWrap/>
            <w:vAlign w:val="center"/>
          </w:tcPr>
          <w:p w14:paraId="216AA9F2">
            <w:pPr>
              <w:pStyle w:val="39"/>
              <w:rPr>
                <w:rFonts w:ascii="宋体" w:hAnsi="宋体"/>
                <w:sz w:val="18"/>
                <w:szCs w:val="18"/>
              </w:rPr>
            </w:pPr>
            <w:r>
              <w:rPr>
                <w:rFonts w:ascii="宋体" w:hAnsi="宋体"/>
                <w:sz w:val="18"/>
                <w:szCs w:val="18"/>
              </w:rPr>
              <w:t>0.10</w:t>
            </w:r>
          </w:p>
        </w:tc>
        <w:tc>
          <w:tcPr>
            <w:tcW w:w="744" w:type="dxa"/>
            <w:noWrap/>
            <w:vAlign w:val="center"/>
          </w:tcPr>
          <w:p w14:paraId="14067A4A">
            <w:pPr>
              <w:pStyle w:val="39"/>
              <w:rPr>
                <w:rFonts w:ascii="宋体" w:hAnsi="宋体"/>
                <w:sz w:val="18"/>
                <w:szCs w:val="18"/>
              </w:rPr>
            </w:pPr>
            <w:r>
              <w:rPr>
                <w:rFonts w:ascii="宋体" w:hAnsi="宋体"/>
                <w:sz w:val="18"/>
                <w:szCs w:val="18"/>
              </w:rPr>
              <w:t>0.15</w:t>
            </w:r>
          </w:p>
        </w:tc>
        <w:tc>
          <w:tcPr>
            <w:tcW w:w="744" w:type="dxa"/>
            <w:noWrap/>
            <w:vAlign w:val="center"/>
          </w:tcPr>
          <w:p w14:paraId="578E2666">
            <w:pPr>
              <w:pStyle w:val="39"/>
              <w:rPr>
                <w:rFonts w:ascii="宋体" w:hAnsi="宋体"/>
                <w:sz w:val="18"/>
                <w:szCs w:val="18"/>
              </w:rPr>
            </w:pPr>
            <w:r>
              <w:rPr>
                <w:rFonts w:ascii="宋体" w:hAnsi="宋体"/>
                <w:sz w:val="18"/>
                <w:szCs w:val="18"/>
              </w:rPr>
              <w:t>0.20</w:t>
            </w:r>
          </w:p>
        </w:tc>
        <w:tc>
          <w:tcPr>
            <w:tcW w:w="744" w:type="dxa"/>
            <w:noWrap/>
            <w:vAlign w:val="center"/>
          </w:tcPr>
          <w:p w14:paraId="0363F5C5">
            <w:pPr>
              <w:pStyle w:val="39"/>
              <w:rPr>
                <w:rFonts w:ascii="宋体" w:hAnsi="宋体"/>
                <w:sz w:val="18"/>
                <w:szCs w:val="18"/>
              </w:rPr>
            </w:pPr>
            <w:r>
              <w:rPr>
                <w:rFonts w:ascii="宋体" w:hAnsi="宋体"/>
                <w:sz w:val="18"/>
                <w:szCs w:val="18"/>
              </w:rPr>
              <w:t>0.25</w:t>
            </w:r>
          </w:p>
        </w:tc>
        <w:tc>
          <w:tcPr>
            <w:tcW w:w="744" w:type="dxa"/>
            <w:noWrap/>
            <w:vAlign w:val="center"/>
          </w:tcPr>
          <w:p w14:paraId="2CD82A75">
            <w:pPr>
              <w:pStyle w:val="39"/>
              <w:rPr>
                <w:rFonts w:ascii="宋体" w:hAnsi="宋体"/>
                <w:sz w:val="18"/>
                <w:szCs w:val="18"/>
              </w:rPr>
            </w:pPr>
            <w:r>
              <w:rPr>
                <w:rFonts w:ascii="宋体" w:hAnsi="宋体"/>
                <w:sz w:val="18"/>
                <w:szCs w:val="18"/>
              </w:rPr>
              <w:t>0.30</w:t>
            </w:r>
          </w:p>
        </w:tc>
        <w:tc>
          <w:tcPr>
            <w:tcW w:w="744" w:type="dxa"/>
            <w:noWrap/>
            <w:vAlign w:val="center"/>
          </w:tcPr>
          <w:p w14:paraId="7BE1A490">
            <w:pPr>
              <w:pStyle w:val="39"/>
              <w:rPr>
                <w:rFonts w:ascii="宋体" w:hAnsi="宋体"/>
                <w:sz w:val="18"/>
                <w:szCs w:val="18"/>
              </w:rPr>
            </w:pPr>
            <w:r>
              <w:rPr>
                <w:rFonts w:ascii="宋体" w:hAnsi="宋体"/>
                <w:sz w:val="18"/>
                <w:szCs w:val="18"/>
              </w:rPr>
              <w:t>0.35</w:t>
            </w:r>
          </w:p>
        </w:tc>
        <w:tc>
          <w:tcPr>
            <w:tcW w:w="744" w:type="dxa"/>
            <w:noWrap/>
            <w:vAlign w:val="center"/>
          </w:tcPr>
          <w:p w14:paraId="1A733541">
            <w:pPr>
              <w:pStyle w:val="39"/>
              <w:rPr>
                <w:rFonts w:ascii="宋体" w:hAnsi="宋体"/>
                <w:sz w:val="18"/>
                <w:szCs w:val="18"/>
              </w:rPr>
            </w:pPr>
            <w:r>
              <w:rPr>
                <w:rFonts w:ascii="宋体" w:hAnsi="宋体"/>
                <w:sz w:val="18"/>
                <w:szCs w:val="18"/>
              </w:rPr>
              <w:t>0.40</w:t>
            </w:r>
          </w:p>
        </w:tc>
        <w:tc>
          <w:tcPr>
            <w:tcW w:w="744" w:type="dxa"/>
            <w:noWrap/>
            <w:vAlign w:val="center"/>
          </w:tcPr>
          <w:p w14:paraId="50CECBB7">
            <w:pPr>
              <w:pStyle w:val="39"/>
              <w:rPr>
                <w:rFonts w:ascii="宋体" w:hAnsi="宋体"/>
                <w:sz w:val="18"/>
                <w:szCs w:val="18"/>
              </w:rPr>
            </w:pPr>
            <w:r>
              <w:rPr>
                <w:rFonts w:ascii="宋体" w:hAnsi="宋体"/>
                <w:sz w:val="18"/>
                <w:szCs w:val="18"/>
              </w:rPr>
              <w:t>0.45</w:t>
            </w:r>
          </w:p>
        </w:tc>
        <w:tc>
          <w:tcPr>
            <w:tcW w:w="744" w:type="dxa"/>
            <w:noWrap/>
            <w:vAlign w:val="center"/>
          </w:tcPr>
          <w:p w14:paraId="286A01CD">
            <w:pPr>
              <w:pStyle w:val="39"/>
              <w:rPr>
                <w:rFonts w:ascii="宋体" w:hAnsi="宋体"/>
                <w:sz w:val="18"/>
                <w:szCs w:val="18"/>
              </w:rPr>
            </w:pPr>
            <w:r>
              <w:rPr>
                <w:rFonts w:ascii="宋体" w:hAnsi="宋体"/>
                <w:sz w:val="18"/>
                <w:szCs w:val="18"/>
              </w:rPr>
              <w:t>0.50</w:t>
            </w:r>
          </w:p>
        </w:tc>
      </w:tr>
      <w:tr w14:paraId="78C6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45" w:type="dxa"/>
            <w:noWrap/>
            <w:vAlign w:val="center"/>
          </w:tcPr>
          <w:p w14:paraId="2A40D366">
            <w:pPr>
              <w:pStyle w:val="39"/>
              <w:rPr>
                <w:rFonts w:ascii="宋体" w:hAnsi="宋体"/>
                <w:sz w:val="18"/>
                <w:szCs w:val="18"/>
              </w:rPr>
            </w:pPr>
            <w:r>
              <w:rPr>
                <w:rFonts w:ascii="宋体" w:hAnsi="宋体"/>
                <w:sz w:val="18"/>
                <w:szCs w:val="18"/>
              </w:rPr>
              <w:t>0.05</w:t>
            </w:r>
          </w:p>
        </w:tc>
        <w:tc>
          <w:tcPr>
            <w:tcW w:w="745" w:type="dxa"/>
            <w:noWrap/>
            <w:vAlign w:val="center"/>
          </w:tcPr>
          <w:p w14:paraId="13FAACAD">
            <w:pPr>
              <w:pStyle w:val="39"/>
              <w:rPr>
                <w:rFonts w:ascii="宋体" w:hAnsi="宋体"/>
                <w:sz w:val="18"/>
                <w:szCs w:val="18"/>
              </w:rPr>
            </w:pPr>
            <w:r>
              <w:rPr>
                <w:rFonts w:ascii="宋体" w:hAnsi="宋体"/>
                <w:sz w:val="18"/>
                <w:szCs w:val="18"/>
              </w:rPr>
              <w:t>0.1568</w:t>
            </w:r>
          </w:p>
        </w:tc>
        <w:tc>
          <w:tcPr>
            <w:tcW w:w="745" w:type="dxa"/>
            <w:noWrap/>
            <w:vAlign w:val="center"/>
          </w:tcPr>
          <w:p w14:paraId="12BF1A4E">
            <w:pPr>
              <w:pStyle w:val="39"/>
              <w:rPr>
                <w:rFonts w:ascii="宋体" w:hAnsi="宋体"/>
                <w:sz w:val="18"/>
                <w:szCs w:val="18"/>
              </w:rPr>
            </w:pPr>
            <w:r>
              <w:rPr>
                <w:rFonts w:ascii="宋体" w:hAnsi="宋体"/>
                <w:sz w:val="18"/>
                <w:szCs w:val="18"/>
              </w:rPr>
              <w:t>0.1453</w:t>
            </w:r>
          </w:p>
        </w:tc>
        <w:tc>
          <w:tcPr>
            <w:tcW w:w="745" w:type="dxa"/>
            <w:noWrap/>
            <w:vAlign w:val="center"/>
          </w:tcPr>
          <w:p w14:paraId="4860D151">
            <w:pPr>
              <w:pStyle w:val="39"/>
              <w:rPr>
                <w:rFonts w:ascii="宋体" w:hAnsi="宋体"/>
                <w:sz w:val="18"/>
                <w:szCs w:val="18"/>
              </w:rPr>
            </w:pPr>
            <w:r>
              <w:rPr>
                <w:rFonts w:ascii="宋体" w:hAnsi="宋体"/>
                <w:sz w:val="18"/>
                <w:szCs w:val="18"/>
              </w:rPr>
              <w:t>0.1353</w:t>
            </w:r>
          </w:p>
        </w:tc>
        <w:tc>
          <w:tcPr>
            <w:tcW w:w="744" w:type="dxa"/>
            <w:noWrap/>
            <w:vAlign w:val="center"/>
          </w:tcPr>
          <w:p w14:paraId="454AE5FE">
            <w:pPr>
              <w:pStyle w:val="39"/>
              <w:rPr>
                <w:rFonts w:ascii="宋体" w:hAnsi="宋体"/>
                <w:sz w:val="18"/>
                <w:szCs w:val="18"/>
              </w:rPr>
            </w:pPr>
            <w:r>
              <w:rPr>
                <w:rFonts w:ascii="宋体" w:hAnsi="宋体"/>
                <w:sz w:val="18"/>
                <w:szCs w:val="18"/>
              </w:rPr>
              <w:t>0.1264</w:t>
            </w:r>
          </w:p>
        </w:tc>
        <w:tc>
          <w:tcPr>
            <w:tcW w:w="744" w:type="dxa"/>
            <w:noWrap/>
            <w:vAlign w:val="center"/>
          </w:tcPr>
          <w:p w14:paraId="65662BBF">
            <w:pPr>
              <w:pStyle w:val="39"/>
              <w:rPr>
                <w:rFonts w:ascii="宋体" w:hAnsi="宋体"/>
                <w:sz w:val="18"/>
                <w:szCs w:val="18"/>
              </w:rPr>
            </w:pPr>
            <w:r>
              <w:rPr>
                <w:rFonts w:ascii="宋体" w:hAnsi="宋体"/>
                <w:sz w:val="18"/>
                <w:szCs w:val="18"/>
              </w:rPr>
              <w:t>0.1186</w:t>
            </w:r>
          </w:p>
        </w:tc>
        <w:tc>
          <w:tcPr>
            <w:tcW w:w="744" w:type="dxa"/>
            <w:noWrap/>
            <w:vAlign w:val="center"/>
          </w:tcPr>
          <w:p w14:paraId="1BA91C80">
            <w:pPr>
              <w:pStyle w:val="39"/>
              <w:rPr>
                <w:rFonts w:ascii="宋体" w:hAnsi="宋体"/>
                <w:sz w:val="18"/>
                <w:szCs w:val="18"/>
              </w:rPr>
            </w:pPr>
            <w:r>
              <w:rPr>
                <w:rFonts w:ascii="宋体" w:hAnsi="宋体"/>
                <w:sz w:val="18"/>
                <w:szCs w:val="18"/>
              </w:rPr>
              <w:t>0.1116</w:t>
            </w:r>
          </w:p>
        </w:tc>
        <w:tc>
          <w:tcPr>
            <w:tcW w:w="744" w:type="dxa"/>
            <w:noWrap/>
            <w:vAlign w:val="center"/>
          </w:tcPr>
          <w:p w14:paraId="41B7135F">
            <w:pPr>
              <w:pStyle w:val="39"/>
              <w:rPr>
                <w:rFonts w:ascii="宋体" w:hAnsi="宋体"/>
                <w:sz w:val="18"/>
                <w:szCs w:val="18"/>
              </w:rPr>
            </w:pPr>
            <w:r>
              <w:rPr>
                <w:rFonts w:ascii="宋体" w:hAnsi="宋体"/>
                <w:sz w:val="18"/>
                <w:szCs w:val="18"/>
              </w:rPr>
              <w:t>0.1053</w:t>
            </w:r>
          </w:p>
        </w:tc>
        <w:tc>
          <w:tcPr>
            <w:tcW w:w="744" w:type="dxa"/>
            <w:noWrap/>
            <w:vAlign w:val="center"/>
          </w:tcPr>
          <w:p w14:paraId="276EF82F">
            <w:pPr>
              <w:pStyle w:val="39"/>
              <w:rPr>
                <w:rFonts w:ascii="宋体" w:hAnsi="宋体"/>
                <w:sz w:val="18"/>
                <w:szCs w:val="18"/>
              </w:rPr>
            </w:pPr>
            <w:r>
              <w:rPr>
                <w:rFonts w:ascii="宋体" w:hAnsi="宋体"/>
                <w:sz w:val="18"/>
                <w:szCs w:val="18"/>
              </w:rPr>
              <w:t>0.0997</w:t>
            </w:r>
          </w:p>
        </w:tc>
        <w:tc>
          <w:tcPr>
            <w:tcW w:w="744" w:type="dxa"/>
            <w:noWrap/>
            <w:vAlign w:val="center"/>
          </w:tcPr>
          <w:p w14:paraId="6733E04A">
            <w:pPr>
              <w:pStyle w:val="39"/>
              <w:rPr>
                <w:rFonts w:ascii="宋体" w:hAnsi="宋体"/>
                <w:sz w:val="18"/>
                <w:szCs w:val="18"/>
              </w:rPr>
            </w:pPr>
            <w:r>
              <w:rPr>
                <w:rFonts w:ascii="宋体" w:hAnsi="宋体"/>
                <w:sz w:val="18"/>
                <w:szCs w:val="18"/>
              </w:rPr>
              <w:t>0.0946</w:t>
            </w:r>
          </w:p>
        </w:tc>
        <w:tc>
          <w:tcPr>
            <w:tcW w:w="744" w:type="dxa"/>
            <w:noWrap/>
            <w:vAlign w:val="center"/>
          </w:tcPr>
          <w:p w14:paraId="4C306015">
            <w:pPr>
              <w:pStyle w:val="39"/>
              <w:rPr>
                <w:rFonts w:ascii="宋体" w:hAnsi="宋体"/>
                <w:sz w:val="18"/>
                <w:szCs w:val="18"/>
              </w:rPr>
            </w:pPr>
            <w:r>
              <w:rPr>
                <w:rFonts w:ascii="宋体" w:hAnsi="宋体"/>
                <w:sz w:val="18"/>
                <w:szCs w:val="18"/>
              </w:rPr>
              <w:t>0.0899</w:t>
            </w:r>
          </w:p>
        </w:tc>
        <w:tc>
          <w:tcPr>
            <w:tcW w:w="744" w:type="dxa"/>
            <w:noWrap/>
            <w:vAlign w:val="center"/>
          </w:tcPr>
          <w:p w14:paraId="76E2E05D">
            <w:pPr>
              <w:pStyle w:val="39"/>
              <w:rPr>
                <w:rFonts w:ascii="宋体" w:hAnsi="宋体"/>
                <w:sz w:val="18"/>
                <w:szCs w:val="18"/>
              </w:rPr>
            </w:pPr>
            <w:r>
              <w:rPr>
                <w:rFonts w:ascii="宋体" w:hAnsi="宋体"/>
                <w:sz w:val="18"/>
                <w:szCs w:val="18"/>
              </w:rPr>
              <w:t>0.0857</w:t>
            </w:r>
          </w:p>
        </w:tc>
      </w:tr>
      <w:tr w14:paraId="1A2DF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45" w:type="dxa"/>
            <w:noWrap/>
            <w:vAlign w:val="center"/>
          </w:tcPr>
          <w:p w14:paraId="6AC690EE">
            <w:pPr>
              <w:pStyle w:val="39"/>
              <w:rPr>
                <w:rFonts w:ascii="宋体" w:hAnsi="宋体"/>
                <w:sz w:val="18"/>
                <w:szCs w:val="18"/>
              </w:rPr>
            </w:pPr>
            <w:r>
              <w:rPr>
                <w:rFonts w:ascii="宋体" w:hAnsi="宋体"/>
                <w:sz w:val="18"/>
                <w:szCs w:val="18"/>
              </w:rPr>
              <w:t>0.10</w:t>
            </w:r>
          </w:p>
        </w:tc>
        <w:tc>
          <w:tcPr>
            <w:tcW w:w="745" w:type="dxa"/>
            <w:noWrap/>
            <w:vAlign w:val="center"/>
          </w:tcPr>
          <w:p w14:paraId="5EB2DB31">
            <w:pPr>
              <w:pStyle w:val="39"/>
              <w:rPr>
                <w:rFonts w:ascii="宋体" w:hAnsi="宋体"/>
                <w:sz w:val="18"/>
                <w:szCs w:val="18"/>
              </w:rPr>
            </w:pPr>
            <w:r>
              <w:rPr>
                <w:rFonts w:ascii="宋体" w:hAnsi="宋体"/>
                <w:sz w:val="18"/>
                <w:szCs w:val="18"/>
              </w:rPr>
              <w:t>0.3121</w:t>
            </w:r>
          </w:p>
        </w:tc>
        <w:tc>
          <w:tcPr>
            <w:tcW w:w="745" w:type="dxa"/>
            <w:noWrap/>
            <w:vAlign w:val="center"/>
          </w:tcPr>
          <w:p w14:paraId="0E8FD3D3">
            <w:pPr>
              <w:pStyle w:val="39"/>
              <w:rPr>
                <w:rFonts w:ascii="宋体" w:hAnsi="宋体"/>
                <w:sz w:val="18"/>
                <w:szCs w:val="18"/>
              </w:rPr>
            </w:pPr>
            <w:r>
              <w:rPr>
                <w:rFonts w:ascii="宋体" w:hAnsi="宋体"/>
                <w:sz w:val="18"/>
                <w:szCs w:val="18"/>
              </w:rPr>
              <w:t>0.2893</w:t>
            </w:r>
          </w:p>
        </w:tc>
        <w:tc>
          <w:tcPr>
            <w:tcW w:w="745" w:type="dxa"/>
            <w:noWrap/>
            <w:vAlign w:val="center"/>
          </w:tcPr>
          <w:p w14:paraId="3EBE0425">
            <w:pPr>
              <w:pStyle w:val="39"/>
              <w:rPr>
                <w:rFonts w:ascii="宋体" w:hAnsi="宋体"/>
                <w:sz w:val="18"/>
                <w:szCs w:val="18"/>
              </w:rPr>
            </w:pPr>
            <w:r>
              <w:rPr>
                <w:rFonts w:ascii="宋体" w:hAnsi="宋体"/>
                <w:sz w:val="18"/>
                <w:szCs w:val="18"/>
              </w:rPr>
              <w:t>0.2692</w:t>
            </w:r>
          </w:p>
        </w:tc>
        <w:tc>
          <w:tcPr>
            <w:tcW w:w="744" w:type="dxa"/>
            <w:noWrap/>
            <w:vAlign w:val="center"/>
          </w:tcPr>
          <w:p w14:paraId="1AB1C5A7">
            <w:pPr>
              <w:pStyle w:val="39"/>
              <w:rPr>
                <w:rFonts w:ascii="宋体" w:hAnsi="宋体"/>
                <w:sz w:val="18"/>
                <w:szCs w:val="18"/>
              </w:rPr>
            </w:pPr>
            <w:r>
              <w:rPr>
                <w:rFonts w:ascii="宋体" w:hAnsi="宋体"/>
                <w:sz w:val="18"/>
                <w:szCs w:val="18"/>
              </w:rPr>
              <w:t>0.2516</w:t>
            </w:r>
          </w:p>
        </w:tc>
        <w:tc>
          <w:tcPr>
            <w:tcW w:w="744" w:type="dxa"/>
            <w:noWrap/>
            <w:vAlign w:val="center"/>
          </w:tcPr>
          <w:p w14:paraId="30F852B6">
            <w:pPr>
              <w:pStyle w:val="39"/>
              <w:rPr>
                <w:rFonts w:ascii="宋体" w:hAnsi="宋体"/>
                <w:sz w:val="18"/>
                <w:szCs w:val="18"/>
              </w:rPr>
            </w:pPr>
            <w:r>
              <w:rPr>
                <w:rFonts w:ascii="宋体" w:hAnsi="宋体"/>
                <w:sz w:val="18"/>
                <w:szCs w:val="18"/>
              </w:rPr>
              <w:t>0.2360</w:t>
            </w:r>
          </w:p>
        </w:tc>
        <w:tc>
          <w:tcPr>
            <w:tcW w:w="744" w:type="dxa"/>
            <w:noWrap/>
            <w:vAlign w:val="center"/>
          </w:tcPr>
          <w:p w14:paraId="4189EF0D">
            <w:pPr>
              <w:pStyle w:val="39"/>
              <w:rPr>
                <w:rFonts w:ascii="宋体" w:hAnsi="宋体"/>
                <w:sz w:val="18"/>
                <w:szCs w:val="18"/>
              </w:rPr>
            </w:pPr>
            <w:r>
              <w:rPr>
                <w:rFonts w:ascii="宋体" w:hAnsi="宋体"/>
                <w:sz w:val="18"/>
                <w:szCs w:val="18"/>
              </w:rPr>
              <w:t>0.2221</w:t>
            </w:r>
          </w:p>
        </w:tc>
        <w:tc>
          <w:tcPr>
            <w:tcW w:w="744" w:type="dxa"/>
            <w:noWrap/>
            <w:vAlign w:val="center"/>
          </w:tcPr>
          <w:p w14:paraId="63A4A4E1">
            <w:pPr>
              <w:pStyle w:val="39"/>
              <w:rPr>
                <w:rFonts w:ascii="宋体" w:hAnsi="宋体"/>
                <w:sz w:val="18"/>
                <w:szCs w:val="18"/>
              </w:rPr>
            </w:pPr>
            <w:r>
              <w:rPr>
                <w:rFonts w:ascii="宋体" w:hAnsi="宋体"/>
                <w:sz w:val="18"/>
                <w:szCs w:val="18"/>
              </w:rPr>
              <w:t>0.2096</w:t>
            </w:r>
          </w:p>
        </w:tc>
        <w:tc>
          <w:tcPr>
            <w:tcW w:w="744" w:type="dxa"/>
            <w:noWrap/>
            <w:vAlign w:val="center"/>
          </w:tcPr>
          <w:p w14:paraId="3E563FCD">
            <w:pPr>
              <w:pStyle w:val="39"/>
              <w:rPr>
                <w:rFonts w:ascii="宋体" w:hAnsi="宋体"/>
                <w:sz w:val="18"/>
                <w:szCs w:val="18"/>
              </w:rPr>
            </w:pPr>
            <w:r>
              <w:rPr>
                <w:rFonts w:ascii="宋体" w:hAnsi="宋体"/>
                <w:sz w:val="18"/>
                <w:szCs w:val="18"/>
              </w:rPr>
              <w:t>0.1984</w:t>
            </w:r>
          </w:p>
        </w:tc>
        <w:tc>
          <w:tcPr>
            <w:tcW w:w="744" w:type="dxa"/>
            <w:noWrap/>
            <w:vAlign w:val="center"/>
          </w:tcPr>
          <w:p w14:paraId="0DDA832D">
            <w:pPr>
              <w:pStyle w:val="39"/>
              <w:rPr>
                <w:rFonts w:ascii="宋体" w:hAnsi="宋体"/>
                <w:sz w:val="18"/>
                <w:szCs w:val="18"/>
              </w:rPr>
            </w:pPr>
            <w:r>
              <w:rPr>
                <w:rFonts w:ascii="宋体" w:hAnsi="宋体"/>
                <w:sz w:val="18"/>
                <w:szCs w:val="18"/>
              </w:rPr>
              <w:t>0.1882</w:t>
            </w:r>
          </w:p>
        </w:tc>
        <w:tc>
          <w:tcPr>
            <w:tcW w:w="744" w:type="dxa"/>
            <w:noWrap/>
            <w:vAlign w:val="center"/>
          </w:tcPr>
          <w:p w14:paraId="12E717D0">
            <w:pPr>
              <w:pStyle w:val="39"/>
              <w:rPr>
                <w:rFonts w:ascii="宋体" w:hAnsi="宋体"/>
                <w:sz w:val="18"/>
                <w:szCs w:val="18"/>
              </w:rPr>
            </w:pPr>
            <w:r>
              <w:rPr>
                <w:rFonts w:ascii="宋体" w:hAnsi="宋体"/>
                <w:sz w:val="18"/>
                <w:szCs w:val="18"/>
              </w:rPr>
              <w:t>0.1790</w:t>
            </w:r>
          </w:p>
        </w:tc>
        <w:tc>
          <w:tcPr>
            <w:tcW w:w="744" w:type="dxa"/>
            <w:noWrap/>
            <w:vAlign w:val="center"/>
          </w:tcPr>
          <w:p w14:paraId="46893E75">
            <w:pPr>
              <w:pStyle w:val="39"/>
              <w:rPr>
                <w:rFonts w:ascii="宋体" w:hAnsi="宋体"/>
                <w:sz w:val="18"/>
                <w:szCs w:val="18"/>
              </w:rPr>
            </w:pPr>
            <w:r>
              <w:rPr>
                <w:rFonts w:ascii="宋体" w:hAnsi="宋体"/>
                <w:sz w:val="18"/>
                <w:szCs w:val="18"/>
              </w:rPr>
              <w:t>0.1705</w:t>
            </w:r>
          </w:p>
        </w:tc>
      </w:tr>
      <w:tr w14:paraId="77085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45" w:type="dxa"/>
            <w:noWrap/>
            <w:vAlign w:val="center"/>
          </w:tcPr>
          <w:p w14:paraId="711CE846">
            <w:pPr>
              <w:pStyle w:val="39"/>
              <w:rPr>
                <w:rFonts w:ascii="宋体" w:hAnsi="宋体"/>
                <w:sz w:val="18"/>
                <w:szCs w:val="18"/>
              </w:rPr>
            </w:pPr>
            <w:r>
              <w:rPr>
                <w:rFonts w:ascii="宋体" w:hAnsi="宋体"/>
                <w:sz w:val="18"/>
                <w:szCs w:val="18"/>
              </w:rPr>
              <w:t>0.15</w:t>
            </w:r>
          </w:p>
        </w:tc>
        <w:tc>
          <w:tcPr>
            <w:tcW w:w="745" w:type="dxa"/>
            <w:noWrap/>
            <w:vAlign w:val="center"/>
          </w:tcPr>
          <w:p w14:paraId="7D07A9C1">
            <w:pPr>
              <w:pStyle w:val="39"/>
              <w:rPr>
                <w:rFonts w:ascii="宋体" w:hAnsi="宋体"/>
                <w:sz w:val="18"/>
                <w:szCs w:val="18"/>
              </w:rPr>
            </w:pPr>
            <w:r>
              <w:rPr>
                <w:rFonts w:ascii="宋体" w:hAnsi="宋体"/>
                <w:sz w:val="18"/>
                <w:szCs w:val="18"/>
              </w:rPr>
              <w:t>0.4644</w:t>
            </w:r>
          </w:p>
        </w:tc>
        <w:tc>
          <w:tcPr>
            <w:tcW w:w="745" w:type="dxa"/>
            <w:noWrap/>
            <w:vAlign w:val="center"/>
          </w:tcPr>
          <w:p w14:paraId="2A0859B6">
            <w:pPr>
              <w:pStyle w:val="39"/>
              <w:rPr>
                <w:rFonts w:ascii="宋体" w:hAnsi="宋体"/>
                <w:sz w:val="18"/>
                <w:szCs w:val="18"/>
              </w:rPr>
            </w:pPr>
            <w:r>
              <w:rPr>
                <w:rFonts w:ascii="宋体" w:hAnsi="宋体"/>
                <w:sz w:val="18"/>
                <w:szCs w:val="18"/>
              </w:rPr>
              <w:t>0.4304</w:t>
            </w:r>
          </w:p>
        </w:tc>
        <w:tc>
          <w:tcPr>
            <w:tcW w:w="745" w:type="dxa"/>
            <w:noWrap/>
            <w:vAlign w:val="center"/>
          </w:tcPr>
          <w:p w14:paraId="1D6653B1">
            <w:pPr>
              <w:pStyle w:val="39"/>
              <w:rPr>
                <w:rFonts w:ascii="宋体" w:hAnsi="宋体"/>
                <w:sz w:val="18"/>
                <w:szCs w:val="18"/>
              </w:rPr>
            </w:pPr>
            <w:r>
              <w:rPr>
                <w:rFonts w:ascii="宋体" w:hAnsi="宋体"/>
                <w:sz w:val="18"/>
                <w:szCs w:val="18"/>
              </w:rPr>
              <w:t>0.4006</w:t>
            </w:r>
          </w:p>
        </w:tc>
        <w:tc>
          <w:tcPr>
            <w:tcW w:w="744" w:type="dxa"/>
            <w:noWrap/>
            <w:vAlign w:val="center"/>
          </w:tcPr>
          <w:p w14:paraId="79A56618">
            <w:pPr>
              <w:pStyle w:val="39"/>
              <w:rPr>
                <w:rFonts w:ascii="宋体" w:hAnsi="宋体"/>
                <w:sz w:val="18"/>
                <w:szCs w:val="18"/>
              </w:rPr>
            </w:pPr>
            <w:r>
              <w:rPr>
                <w:rFonts w:ascii="宋体" w:hAnsi="宋体"/>
                <w:sz w:val="18"/>
                <w:szCs w:val="18"/>
              </w:rPr>
              <w:t>0.3744</w:t>
            </w:r>
          </w:p>
        </w:tc>
        <w:tc>
          <w:tcPr>
            <w:tcW w:w="744" w:type="dxa"/>
            <w:noWrap/>
            <w:vAlign w:val="center"/>
          </w:tcPr>
          <w:p w14:paraId="594A9AC8">
            <w:pPr>
              <w:pStyle w:val="39"/>
              <w:rPr>
                <w:rFonts w:ascii="宋体" w:hAnsi="宋体"/>
                <w:sz w:val="18"/>
                <w:szCs w:val="18"/>
              </w:rPr>
            </w:pPr>
            <w:r>
              <w:rPr>
                <w:rFonts w:ascii="宋体" w:hAnsi="宋体"/>
                <w:sz w:val="18"/>
                <w:szCs w:val="18"/>
              </w:rPr>
              <w:t>0.3512</w:t>
            </w:r>
          </w:p>
        </w:tc>
        <w:tc>
          <w:tcPr>
            <w:tcW w:w="744" w:type="dxa"/>
            <w:noWrap/>
            <w:vAlign w:val="center"/>
          </w:tcPr>
          <w:p w14:paraId="1E20D26F">
            <w:pPr>
              <w:pStyle w:val="39"/>
              <w:rPr>
                <w:rFonts w:ascii="宋体" w:hAnsi="宋体"/>
                <w:sz w:val="18"/>
                <w:szCs w:val="18"/>
              </w:rPr>
            </w:pPr>
            <w:r>
              <w:rPr>
                <w:rFonts w:ascii="宋体" w:hAnsi="宋体"/>
                <w:sz w:val="18"/>
                <w:szCs w:val="18"/>
              </w:rPr>
              <w:t>0.3305</w:t>
            </w:r>
          </w:p>
        </w:tc>
        <w:tc>
          <w:tcPr>
            <w:tcW w:w="744" w:type="dxa"/>
            <w:noWrap/>
            <w:vAlign w:val="center"/>
          </w:tcPr>
          <w:p w14:paraId="6C35B5C0">
            <w:pPr>
              <w:pStyle w:val="39"/>
              <w:rPr>
                <w:rFonts w:ascii="宋体" w:hAnsi="宋体"/>
                <w:sz w:val="18"/>
                <w:szCs w:val="18"/>
              </w:rPr>
            </w:pPr>
            <w:r>
              <w:rPr>
                <w:rFonts w:ascii="宋体" w:hAnsi="宋体"/>
                <w:sz w:val="18"/>
                <w:szCs w:val="18"/>
              </w:rPr>
              <w:t>0.3119</w:t>
            </w:r>
          </w:p>
        </w:tc>
        <w:tc>
          <w:tcPr>
            <w:tcW w:w="744" w:type="dxa"/>
            <w:noWrap/>
            <w:vAlign w:val="center"/>
          </w:tcPr>
          <w:p w14:paraId="638A8740">
            <w:pPr>
              <w:pStyle w:val="39"/>
              <w:rPr>
                <w:rFonts w:ascii="宋体" w:hAnsi="宋体"/>
                <w:sz w:val="18"/>
                <w:szCs w:val="18"/>
              </w:rPr>
            </w:pPr>
            <w:r>
              <w:rPr>
                <w:rFonts w:ascii="宋体" w:hAnsi="宋体"/>
                <w:sz w:val="18"/>
                <w:szCs w:val="18"/>
              </w:rPr>
              <w:t>0.2952</w:t>
            </w:r>
          </w:p>
        </w:tc>
        <w:tc>
          <w:tcPr>
            <w:tcW w:w="744" w:type="dxa"/>
            <w:noWrap/>
            <w:vAlign w:val="center"/>
          </w:tcPr>
          <w:p w14:paraId="54738FDF">
            <w:pPr>
              <w:pStyle w:val="39"/>
              <w:rPr>
                <w:rFonts w:ascii="宋体" w:hAnsi="宋体"/>
                <w:sz w:val="18"/>
                <w:szCs w:val="18"/>
              </w:rPr>
            </w:pPr>
            <w:r>
              <w:rPr>
                <w:rFonts w:ascii="宋体" w:hAnsi="宋体"/>
                <w:sz w:val="18"/>
                <w:szCs w:val="18"/>
              </w:rPr>
              <w:t>0.2800</w:t>
            </w:r>
          </w:p>
        </w:tc>
        <w:tc>
          <w:tcPr>
            <w:tcW w:w="744" w:type="dxa"/>
            <w:noWrap/>
            <w:vAlign w:val="center"/>
          </w:tcPr>
          <w:p w14:paraId="70632DE2">
            <w:pPr>
              <w:pStyle w:val="39"/>
              <w:rPr>
                <w:rFonts w:ascii="宋体" w:hAnsi="宋体"/>
                <w:sz w:val="18"/>
                <w:szCs w:val="18"/>
              </w:rPr>
            </w:pPr>
            <w:r>
              <w:rPr>
                <w:rFonts w:ascii="宋体" w:hAnsi="宋体"/>
                <w:sz w:val="18"/>
                <w:szCs w:val="18"/>
              </w:rPr>
              <w:t>0.2663</w:t>
            </w:r>
          </w:p>
        </w:tc>
        <w:tc>
          <w:tcPr>
            <w:tcW w:w="744" w:type="dxa"/>
            <w:noWrap/>
            <w:vAlign w:val="center"/>
          </w:tcPr>
          <w:p w14:paraId="27E42912">
            <w:pPr>
              <w:pStyle w:val="39"/>
              <w:rPr>
                <w:rFonts w:ascii="宋体" w:hAnsi="宋体"/>
                <w:sz w:val="18"/>
                <w:szCs w:val="18"/>
              </w:rPr>
            </w:pPr>
            <w:r>
              <w:rPr>
                <w:rFonts w:ascii="宋体" w:hAnsi="宋体"/>
                <w:sz w:val="18"/>
                <w:szCs w:val="18"/>
              </w:rPr>
              <w:t>0.2537</w:t>
            </w:r>
          </w:p>
        </w:tc>
      </w:tr>
      <w:tr w14:paraId="4F686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45" w:type="dxa"/>
            <w:noWrap/>
            <w:vAlign w:val="center"/>
          </w:tcPr>
          <w:p w14:paraId="15CAD7C3">
            <w:pPr>
              <w:pStyle w:val="39"/>
              <w:rPr>
                <w:rFonts w:ascii="宋体" w:hAnsi="宋体"/>
                <w:sz w:val="18"/>
                <w:szCs w:val="18"/>
              </w:rPr>
            </w:pPr>
            <w:r>
              <w:rPr>
                <w:rFonts w:ascii="宋体" w:hAnsi="宋体"/>
                <w:sz w:val="18"/>
                <w:szCs w:val="18"/>
              </w:rPr>
              <w:t>0.20</w:t>
            </w:r>
          </w:p>
        </w:tc>
        <w:tc>
          <w:tcPr>
            <w:tcW w:w="745" w:type="dxa"/>
            <w:noWrap/>
            <w:vAlign w:val="center"/>
          </w:tcPr>
          <w:p w14:paraId="21C4237E">
            <w:pPr>
              <w:pStyle w:val="39"/>
              <w:rPr>
                <w:rFonts w:ascii="宋体" w:hAnsi="宋体"/>
                <w:sz w:val="18"/>
                <w:szCs w:val="18"/>
              </w:rPr>
            </w:pPr>
            <w:r>
              <w:rPr>
                <w:rFonts w:ascii="宋体" w:hAnsi="宋体"/>
                <w:sz w:val="18"/>
                <w:szCs w:val="18"/>
              </w:rPr>
              <w:t>0.6123</w:t>
            </w:r>
          </w:p>
        </w:tc>
        <w:tc>
          <w:tcPr>
            <w:tcW w:w="745" w:type="dxa"/>
            <w:noWrap/>
            <w:vAlign w:val="center"/>
          </w:tcPr>
          <w:p w14:paraId="7C924F78">
            <w:pPr>
              <w:pStyle w:val="39"/>
              <w:rPr>
                <w:rFonts w:ascii="宋体" w:hAnsi="宋体"/>
                <w:sz w:val="18"/>
                <w:szCs w:val="18"/>
              </w:rPr>
            </w:pPr>
            <w:r>
              <w:rPr>
                <w:rFonts w:ascii="宋体" w:hAnsi="宋体"/>
                <w:sz w:val="18"/>
                <w:szCs w:val="18"/>
              </w:rPr>
              <w:t>0.5674</w:t>
            </w:r>
          </w:p>
        </w:tc>
        <w:tc>
          <w:tcPr>
            <w:tcW w:w="745" w:type="dxa"/>
            <w:noWrap/>
            <w:vAlign w:val="center"/>
          </w:tcPr>
          <w:p w14:paraId="13FF9F5D">
            <w:pPr>
              <w:pStyle w:val="39"/>
              <w:rPr>
                <w:rFonts w:ascii="宋体" w:hAnsi="宋体"/>
                <w:sz w:val="18"/>
                <w:szCs w:val="18"/>
              </w:rPr>
            </w:pPr>
            <w:r>
              <w:rPr>
                <w:rFonts w:ascii="宋体" w:hAnsi="宋体"/>
                <w:sz w:val="18"/>
                <w:szCs w:val="18"/>
              </w:rPr>
              <w:t>0.5282</w:t>
            </w:r>
          </w:p>
        </w:tc>
        <w:tc>
          <w:tcPr>
            <w:tcW w:w="744" w:type="dxa"/>
            <w:noWrap/>
            <w:vAlign w:val="center"/>
          </w:tcPr>
          <w:p w14:paraId="5091747F">
            <w:pPr>
              <w:pStyle w:val="39"/>
              <w:rPr>
                <w:rFonts w:ascii="宋体" w:hAnsi="宋体"/>
                <w:sz w:val="18"/>
                <w:szCs w:val="18"/>
              </w:rPr>
            </w:pPr>
            <w:r>
              <w:rPr>
                <w:rFonts w:ascii="宋体" w:hAnsi="宋体"/>
                <w:sz w:val="18"/>
                <w:szCs w:val="18"/>
              </w:rPr>
              <w:t>0.4936</w:t>
            </w:r>
          </w:p>
        </w:tc>
        <w:tc>
          <w:tcPr>
            <w:tcW w:w="744" w:type="dxa"/>
            <w:noWrap/>
            <w:vAlign w:val="center"/>
          </w:tcPr>
          <w:p w14:paraId="772F1170">
            <w:pPr>
              <w:pStyle w:val="39"/>
              <w:rPr>
                <w:rFonts w:ascii="宋体" w:hAnsi="宋体"/>
                <w:sz w:val="18"/>
                <w:szCs w:val="18"/>
              </w:rPr>
            </w:pPr>
            <w:r>
              <w:rPr>
                <w:rFonts w:ascii="宋体" w:hAnsi="宋体"/>
                <w:sz w:val="18"/>
                <w:szCs w:val="18"/>
              </w:rPr>
              <w:t>0.4630</w:t>
            </w:r>
          </w:p>
        </w:tc>
        <w:tc>
          <w:tcPr>
            <w:tcW w:w="744" w:type="dxa"/>
            <w:noWrap/>
            <w:vAlign w:val="center"/>
          </w:tcPr>
          <w:p w14:paraId="63BCE5B4">
            <w:pPr>
              <w:pStyle w:val="39"/>
              <w:rPr>
                <w:rFonts w:ascii="宋体" w:hAnsi="宋体"/>
                <w:sz w:val="18"/>
                <w:szCs w:val="18"/>
              </w:rPr>
            </w:pPr>
            <w:r>
              <w:rPr>
                <w:rFonts w:ascii="宋体" w:hAnsi="宋体"/>
                <w:sz w:val="18"/>
                <w:szCs w:val="18"/>
              </w:rPr>
              <w:t>0.4357</w:t>
            </w:r>
          </w:p>
        </w:tc>
        <w:tc>
          <w:tcPr>
            <w:tcW w:w="744" w:type="dxa"/>
            <w:noWrap/>
            <w:vAlign w:val="center"/>
          </w:tcPr>
          <w:p w14:paraId="60C51982">
            <w:pPr>
              <w:pStyle w:val="39"/>
              <w:rPr>
                <w:rFonts w:ascii="宋体" w:hAnsi="宋体"/>
                <w:sz w:val="18"/>
                <w:szCs w:val="18"/>
              </w:rPr>
            </w:pPr>
            <w:r>
              <w:rPr>
                <w:rFonts w:ascii="宋体" w:hAnsi="宋体"/>
                <w:sz w:val="18"/>
                <w:szCs w:val="18"/>
              </w:rPr>
              <w:t>0.4112</w:t>
            </w:r>
          </w:p>
        </w:tc>
        <w:tc>
          <w:tcPr>
            <w:tcW w:w="744" w:type="dxa"/>
            <w:noWrap/>
            <w:vAlign w:val="center"/>
          </w:tcPr>
          <w:p w14:paraId="04707861">
            <w:pPr>
              <w:pStyle w:val="39"/>
              <w:rPr>
                <w:rFonts w:ascii="宋体" w:hAnsi="宋体"/>
                <w:sz w:val="18"/>
                <w:szCs w:val="18"/>
              </w:rPr>
            </w:pPr>
            <w:r>
              <w:rPr>
                <w:rFonts w:ascii="宋体" w:hAnsi="宋体"/>
                <w:sz w:val="18"/>
                <w:szCs w:val="18"/>
              </w:rPr>
              <w:t>0.3891</w:t>
            </w:r>
          </w:p>
        </w:tc>
        <w:tc>
          <w:tcPr>
            <w:tcW w:w="744" w:type="dxa"/>
            <w:noWrap/>
            <w:vAlign w:val="center"/>
          </w:tcPr>
          <w:p w14:paraId="69C6E725">
            <w:pPr>
              <w:pStyle w:val="39"/>
              <w:rPr>
                <w:rFonts w:ascii="宋体" w:hAnsi="宋体"/>
                <w:sz w:val="18"/>
                <w:szCs w:val="18"/>
              </w:rPr>
            </w:pPr>
            <w:r>
              <w:rPr>
                <w:rFonts w:ascii="宋体" w:hAnsi="宋体"/>
                <w:sz w:val="18"/>
                <w:szCs w:val="18"/>
              </w:rPr>
              <w:t>0.3692</w:t>
            </w:r>
          </w:p>
        </w:tc>
        <w:tc>
          <w:tcPr>
            <w:tcW w:w="744" w:type="dxa"/>
            <w:noWrap/>
            <w:vAlign w:val="center"/>
          </w:tcPr>
          <w:p w14:paraId="0E9E6257">
            <w:pPr>
              <w:pStyle w:val="39"/>
              <w:rPr>
                <w:rFonts w:ascii="宋体" w:hAnsi="宋体"/>
                <w:sz w:val="18"/>
                <w:szCs w:val="18"/>
              </w:rPr>
            </w:pPr>
            <w:r>
              <w:rPr>
                <w:rFonts w:ascii="宋体" w:hAnsi="宋体"/>
                <w:sz w:val="18"/>
                <w:szCs w:val="18"/>
              </w:rPr>
              <w:t>0.3510</w:t>
            </w:r>
          </w:p>
        </w:tc>
        <w:tc>
          <w:tcPr>
            <w:tcW w:w="744" w:type="dxa"/>
            <w:noWrap/>
            <w:vAlign w:val="center"/>
          </w:tcPr>
          <w:p w14:paraId="6D2F6CA8">
            <w:pPr>
              <w:pStyle w:val="39"/>
              <w:rPr>
                <w:rFonts w:ascii="宋体" w:hAnsi="宋体"/>
                <w:sz w:val="18"/>
                <w:szCs w:val="18"/>
              </w:rPr>
            </w:pPr>
            <w:r>
              <w:rPr>
                <w:rFonts w:ascii="宋体" w:hAnsi="宋体"/>
                <w:sz w:val="18"/>
                <w:szCs w:val="18"/>
              </w:rPr>
              <w:t>0.3345</w:t>
            </w:r>
          </w:p>
        </w:tc>
      </w:tr>
      <w:tr w14:paraId="46B8E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45" w:type="dxa"/>
            <w:noWrap/>
            <w:vAlign w:val="center"/>
          </w:tcPr>
          <w:p w14:paraId="742C8E05">
            <w:pPr>
              <w:pStyle w:val="39"/>
              <w:rPr>
                <w:rFonts w:ascii="宋体" w:hAnsi="宋体"/>
                <w:sz w:val="18"/>
                <w:szCs w:val="18"/>
              </w:rPr>
            </w:pPr>
            <w:r>
              <w:rPr>
                <w:rFonts w:ascii="宋体" w:hAnsi="宋体"/>
                <w:sz w:val="18"/>
                <w:szCs w:val="18"/>
              </w:rPr>
              <w:t>0.25</w:t>
            </w:r>
          </w:p>
        </w:tc>
        <w:tc>
          <w:tcPr>
            <w:tcW w:w="745" w:type="dxa"/>
            <w:noWrap/>
            <w:vAlign w:val="center"/>
          </w:tcPr>
          <w:p w14:paraId="6C515125">
            <w:pPr>
              <w:pStyle w:val="39"/>
              <w:rPr>
                <w:rFonts w:ascii="宋体" w:hAnsi="宋体"/>
                <w:sz w:val="18"/>
                <w:szCs w:val="18"/>
              </w:rPr>
            </w:pPr>
            <w:r>
              <w:rPr>
                <w:rFonts w:ascii="宋体" w:hAnsi="宋体"/>
                <w:sz w:val="18"/>
                <w:szCs w:val="18"/>
              </w:rPr>
              <w:t>0.7542</w:t>
            </w:r>
          </w:p>
        </w:tc>
        <w:tc>
          <w:tcPr>
            <w:tcW w:w="745" w:type="dxa"/>
            <w:noWrap/>
            <w:vAlign w:val="center"/>
          </w:tcPr>
          <w:p w14:paraId="06A2F80C">
            <w:pPr>
              <w:pStyle w:val="39"/>
              <w:rPr>
                <w:rFonts w:ascii="宋体" w:hAnsi="宋体"/>
                <w:sz w:val="18"/>
                <w:szCs w:val="18"/>
              </w:rPr>
            </w:pPr>
            <w:r>
              <w:rPr>
                <w:rFonts w:ascii="宋体" w:hAnsi="宋体"/>
                <w:sz w:val="18"/>
                <w:szCs w:val="18"/>
              </w:rPr>
              <w:t>0.6990</w:t>
            </w:r>
          </w:p>
        </w:tc>
        <w:tc>
          <w:tcPr>
            <w:tcW w:w="745" w:type="dxa"/>
            <w:noWrap/>
            <w:vAlign w:val="center"/>
          </w:tcPr>
          <w:p w14:paraId="3512A4B9">
            <w:pPr>
              <w:pStyle w:val="39"/>
              <w:rPr>
                <w:rFonts w:ascii="宋体" w:hAnsi="宋体"/>
                <w:sz w:val="18"/>
                <w:szCs w:val="18"/>
              </w:rPr>
            </w:pPr>
            <w:r>
              <w:rPr>
                <w:rFonts w:ascii="宋体" w:hAnsi="宋体"/>
                <w:sz w:val="18"/>
                <w:szCs w:val="18"/>
              </w:rPr>
              <w:t>0.6506</w:t>
            </w:r>
          </w:p>
        </w:tc>
        <w:tc>
          <w:tcPr>
            <w:tcW w:w="744" w:type="dxa"/>
            <w:noWrap/>
            <w:vAlign w:val="center"/>
          </w:tcPr>
          <w:p w14:paraId="2746282C">
            <w:pPr>
              <w:pStyle w:val="39"/>
              <w:rPr>
                <w:rFonts w:ascii="宋体" w:hAnsi="宋体"/>
                <w:sz w:val="18"/>
                <w:szCs w:val="18"/>
              </w:rPr>
            </w:pPr>
            <w:r>
              <w:rPr>
                <w:rFonts w:ascii="宋体" w:hAnsi="宋体"/>
                <w:sz w:val="18"/>
                <w:szCs w:val="18"/>
              </w:rPr>
              <w:t>0.6080</w:t>
            </w:r>
          </w:p>
        </w:tc>
        <w:tc>
          <w:tcPr>
            <w:tcW w:w="744" w:type="dxa"/>
            <w:noWrap/>
            <w:vAlign w:val="center"/>
          </w:tcPr>
          <w:p w14:paraId="497FE717">
            <w:pPr>
              <w:pStyle w:val="39"/>
              <w:rPr>
                <w:rFonts w:ascii="宋体" w:hAnsi="宋体"/>
                <w:sz w:val="18"/>
                <w:szCs w:val="18"/>
              </w:rPr>
            </w:pPr>
            <w:r>
              <w:rPr>
                <w:rFonts w:ascii="宋体" w:hAnsi="宋体"/>
                <w:sz w:val="18"/>
                <w:szCs w:val="18"/>
              </w:rPr>
              <w:t>0.5703</w:t>
            </w:r>
          </w:p>
        </w:tc>
        <w:tc>
          <w:tcPr>
            <w:tcW w:w="744" w:type="dxa"/>
            <w:noWrap/>
            <w:vAlign w:val="center"/>
          </w:tcPr>
          <w:p w14:paraId="4AD145A8">
            <w:pPr>
              <w:pStyle w:val="39"/>
              <w:rPr>
                <w:rFonts w:ascii="宋体" w:hAnsi="宋体"/>
                <w:sz w:val="18"/>
                <w:szCs w:val="18"/>
              </w:rPr>
            </w:pPr>
            <w:r>
              <w:rPr>
                <w:rFonts w:ascii="宋体" w:hAnsi="宋体"/>
                <w:sz w:val="18"/>
                <w:szCs w:val="18"/>
              </w:rPr>
              <w:t>0.5367</w:t>
            </w:r>
          </w:p>
        </w:tc>
        <w:tc>
          <w:tcPr>
            <w:tcW w:w="744" w:type="dxa"/>
            <w:noWrap/>
            <w:vAlign w:val="center"/>
          </w:tcPr>
          <w:p w14:paraId="596A11E0">
            <w:pPr>
              <w:pStyle w:val="39"/>
              <w:rPr>
                <w:rFonts w:ascii="宋体" w:hAnsi="宋体"/>
                <w:sz w:val="18"/>
                <w:szCs w:val="18"/>
              </w:rPr>
            </w:pPr>
            <w:r>
              <w:rPr>
                <w:rFonts w:ascii="宋体" w:hAnsi="宋体"/>
                <w:sz w:val="18"/>
                <w:szCs w:val="18"/>
              </w:rPr>
              <w:t>0.5065</w:t>
            </w:r>
          </w:p>
        </w:tc>
        <w:tc>
          <w:tcPr>
            <w:tcW w:w="744" w:type="dxa"/>
            <w:noWrap/>
            <w:vAlign w:val="center"/>
          </w:tcPr>
          <w:p w14:paraId="553CA207">
            <w:pPr>
              <w:pStyle w:val="39"/>
              <w:rPr>
                <w:rFonts w:ascii="宋体" w:hAnsi="宋体"/>
                <w:sz w:val="18"/>
                <w:szCs w:val="18"/>
              </w:rPr>
            </w:pPr>
            <w:r>
              <w:rPr>
                <w:rFonts w:ascii="宋体" w:hAnsi="宋体"/>
                <w:sz w:val="18"/>
                <w:szCs w:val="18"/>
              </w:rPr>
              <w:t>0.4794</w:t>
            </w:r>
          </w:p>
        </w:tc>
        <w:tc>
          <w:tcPr>
            <w:tcW w:w="744" w:type="dxa"/>
            <w:noWrap/>
            <w:vAlign w:val="center"/>
          </w:tcPr>
          <w:p w14:paraId="1220D6B7">
            <w:pPr>
              <w:pStyle w:val="39"/>
              <w:rPr>
                <w:rFonts w:ascii="宋体" w:hAnsi="宋体"/>
                <w:sz w:val="18"/>
                <w:szCs w:val="18"/>
              </w:rPr>
            </w:pPr>
            <w:r>
              <w:rPr>
                <w:rFonts w:ascii="宋体" w:hAnsi="宋体"/>
                <w:sz w:val="18"/>
                <w:szCs w:val="18"/>
              </w:rPr>
              <w:t>0.4548</w:t>
            </w:r>
          </w:p>
        </w:tc>
        <w:tc>
          <w:tcPr>
            <w:tcW w:w="744" w:type="dxa"/>
            <w:noWrap/>
            <w:vAlign w:val="center"/>
          </w:tcPr>
          <w:p w14:paraId="10D9DABD">
            <w:pPr>
              <w:pStyle w:val="39"/>
              <w:rPr>
                <w:rFonts w:ascii="宋体" w:hAnsi="宋体"/>
                <w:sz w:val="18"/>
                <w:szCs w:val="18"/>
              </w:rPr>
            </w:pPr>
            <w:r>
              <w:rPr>
                <w:rFonts w:ascii="宋体" w:hAnsi="宋体"/>
                <w:sz w:val="18"/>
                <w:szCs w:val="18"/>
              </w:rPr>
              <w:t>0.4325</w:t>
            </w:r>
          </w:p>
        </w:tc>
        <w:tc>
          <w:tcPr>
            <w:tcW w:w="744" w:type="dxa"/>
            <w:noWrap/>
            <w:vAlign w:val="center"/>
          </w:tcPr>
          <w:p w14:paraId="10A9373D">
            <w:pPr>
              <w:pStyle w:val="39"/>
              <w:rPr>
                <w:rFonts w:ascii="宋体" w:hAnsi="宋体"/>
                <w:sz w:val="18"/>
                <w:szCs w:val="18"/>
              </w:rPr>
            </w:pPr>
            <w:r>
              <w:rPr>
                <w:rFonts w:ascii="宋体" w:hAnsi="宋体"/>
                <w:sz w:val="18"/>
                <w:szCs w:val="18"/>
              </w:rPr>
              <w:t>0.4121</w:t>
            </w:r>
          </w:p>
        </w:tc>
      </w:tr>
      <w:tr w14:paraId="12EAC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45" w:type="dxa"/>
            <w:noWrap/>
            <w:vAlign w:val="center"/>
          </w:tcPr>
          <w:p w14:paraId="3EF380AB">
            <w:pPr>
              <w:pStyle w:val="39"/>
              <w:rPr>
                <w:rFonts w:ascii="宋体" w:hAnsi="宋体"/>
                <w:sz w:val="18"/>
                <w:szCs w:val="18"/>
              </w:rPr>
            </w:pPr>
            <w:r>
              <w:rPr>
                <w:rFonts w:ascii="宋体" w:hAnsi="宋体"/>
                <w:sz w:val="18"/>
                <w:szCs w:val="18"/>
              </w:rPr>
              <w:t>0.30</w:t>
            </w:r>
          </w:p>
        </w:tc>
        <w:tc>
          <w:tcPr>
            <w:tcW w:w="745" w:type="dxa"/>
            <w:noWrap/>
            <w:vAlign w:val="center"/>
          </w:tcPr>
          <w:p w14:paraId="1E9BE9DA">
            <w:pPr>
              <w:pStyle w:val="39"/>
              <w:rPr>
                <w:rFonts w:ascii="宋体" w:hAnsi="宋体"/>
                <w:sz w:val="18"/>
                <w:szCs w:val="18"/>
              </w:rPr>
            </w:pPr>
            <w:r>
              <w:rPr>
                <w:rFonts w:ascii="宋体" w:hAnsi="宋体"/>
                <w:sz w:val="18"/>
                <w:szCs w:val="18"/>
              </w:rPr>
              <w:t>0.8890</w:t>
            </w:r>
          </w:p>
        </w:tc>
        <w:tc>
          <w:tcPr>
            <w:tcW w:w="745" w:type="dxa"/>
            <w:noWrap/>
            <w:vAlign w:val="center"/>
          </w:tcPr>
          <w:p w14:paraId="5E671FD8">
            <w:pPr>
              <w:pStyle w:val="39"/>
              <w:rPr>
                <w:rFonts w:ascii="宋体" w:hAnsi="宋体"/>
                <w:sz w:val="18"/>
                <w:szCs w:val="18"/>
              </w:rPr>
            </w:pPr>
            <w:r>
              <w:rPr>
                <w:rFonts w:ascii="宋体" w:hAnsi="宋体"/>
                <w:sz w:val="18"/>
                <w:szCs w:val="18"/>
              </w:rPr>
              <w:t>0.8239</w:t>
            </w:r>
          </w:p>
        </w:tc>
        <w:tc>
          <w:tcPr>
            <w:tcW w:w="745" w:type="dxa"/>
            <w:noWrap/>
            <w:vAlign w:val="center"/>
          </w:tcPr>
          <w:p w14:paraId="353D7E88">
            <w:pPr>
              <w:pStyle w:val="39"/>
              <w:rPr>
                <w:rFonts w:ascii="宋体" w:hAnsi="宋体"/>
                <w:sz w:val="18"/>
                <w:szCs w:val="18"/>
              </w:rPr>
            </w:pPr>
            <w:r>
              <w:rPr>
                <w:rFonts w:ascii="宋体" w:hAnsi="宋体"/>
                <w:sz w:val="18"/>
                <w:szCs w:val="18"/>
              </w:rPr>
              <w:t>0.7669</w:t>
            </w:r>
          </w:p>
        </w:tc>
        <w:tc>
          <w:tcPr>
            <w:tcW w:w="744" w:type="dxa"/>
            <w:noWrap/>
            <w:vAlign w:val="center"/>
          </w:tcPr>
          <w:p w14:paraId="132BF1D0">
            <w:pPr>
              <w:pStyle w:val="39"/>
              <w:rPr>
                <w:rFonts w:ascii="宋体" w:hAnsi="宋体"/>
                <w:sz w:val="18"/>
                <w:szCs w:val="18"/>
              </w:rPr>
            </w:pPr>
            <w:r>
              <w:rPr>
                <w:rFonts w:ascii="宋体" w:hAnsi="宋体"/>
                <w:sz w:val="18"/>
                <w:szCs w:val="18"/>
              </w:rPr>
              <w:t>0.7167</w:t>
            </w:r>
          </w:p>
        </w:tc>
        <w:tc>
          <w:tcPr>
            <w:tcW w:w="744" w:type="dxa"/>
            <w:noWrap/>
            <w:vAlign w:val="center"/>
          </w:tcPr>
          <w:p w14:paraId="17E87A34">
            <w:pPr>
              <w:pStyle w:val="39"/>
              <w:rPr>
                <w:rFonts w:ascii="宋体" w:hAnsi="宋体"/>
                <w:sz w:val="18"/>
                <w:szCs w:val="18"/>
              </w:rPr>
            </w:pPr>
            <w:r>
              <w:rPr>
                <w:rFonts w:ascii="宋体" w:hAnsi="宋体"/>
                <w:sz w:val="18"/>
                <w:szCs w:val="18"/>
              </w:rPr>
              <w:t>0.6723</w:t>
            </w:r>
          </w:p>
        </w:tc>
        <w:tc>
          <w:tcPr>
            <w:tcW w:w="744" w:type="dxa"/>
            <w:noWrap/>
            <w:vAlign w:val="center"/>
          </w:tcPr>
          <w:p w14:paraId="4CA4D4DD">
            <w:pPr>
              <w:pStyle w:val="39"/>
              <w:rPr>
                <w:rFonts w:ascii="宋体" w:hAnsi="宋体"/>
                <w:sz w:val="18"/>
                <w:szCs w:val="18"/>
              </w:rPr>
            </w:pPr>
            <w:r>
              <w:rPr>
                <w:rFonts w:ascii="宋体" w:hAnsi="宋体"/>
                <w:sz w:val="18"/>
                <w:szCs w:val="18"/>
              </w:rPr>
              <w:t>0.6326</w:t>
            </w:r>
          </w:p>
        </w:tc>
        <w:tc>
          <w:tcPr>
            <w:tcW w:w="744" w:type="dxa"/>
            <w:noWrap/>
            <w:vAlign w:val="center"/>
          </w:tcPr>
          <w:p w14:paraId="6A86F00F">
            <w:pPr>
              <w:pStyle w:val="39"/>
              <w:rPr>
                <w:rFonts w:ascii="宋体" w:hAnsi="宋体"/>
                <w:sz w:val="18"/>
                <w:szCs w:val="18"/>
              </w:rPr>
            </w:pPr>
            <w:r>
              <w:rPr>
                <w:rFonts w:ascii="宋体" w:hAnsi="宋体"/>
                <w:sz w:val="18"/>
                <w:szCs w:val="18"/>
              </w:rPr>
              <w:t>0.5971</w:t>
            </w:r>
          </w:p>
        </w:tc>
        <w:tc>
          <w:tcPr>
            <w:tcW w:w="744" w:type="dxa"/>
            <w:noWrap/>
            <w:vAlign w:val="center"/>
          </w:tcPr>
          <w:p w14:paraId="55B45E1E">
            <w:pPr>
              <w:pStyle w:val="39"/>
              <w:rPr>
                <w:rFonts w:ascii="宋体" w:hAnsi="宋体"/>
                <w:sz w:val="18"/>
                <w:szCs w:val="18"/>
              </w:rPr>
            </w:pPr>
            <w:r>
              <w:rPr>
                <w:rFonts w:ascii="宋体" w:hAnsi="宋体"/>
                <w:sz w:val="18"/>
                <w:szCs w:val="18"/>
              </w:rPr>
              <w:t>0.5651</w:t>
            </w:r>
          </w:p>
        </w:tc>
        <w:tc>
          <w:tcPr>
            <w:tcW w:w="744" w:type="dxa"/>
            <w:noWrap/>
            <w:vAlign w:val="center"/>
          </w:tcPr>
          <w:p w14:paraId="038B899B">
            <w:pPr>
              <w:pStyle w:val="39"/>
              <w:rPr>
                <w:rFonts w:ascii="宋体" w:hAnsi="宋体"/>
                <w:sz w:val="18"/>
                <w:szCs w:val="18"/>
              </w:rPr>
            </w:pPr>
            <w:r>
              <w:rPr>
                <w:rFonts w:ascii="宋体" w:hAnsi="宋体"/>
                <w:sz w:val="18"/>
                <w:szCs w:val="18"/>
              </w:rPr>
              <w:t>0.5361</w:t>
            </w:r>
          </w:p>
        </w:tc>
        <w:tc>
          <w:tcPr>
            <w:tcW w:w="744" w:type="dxa"/>
            <w:noWrap/>
            <w:vAlign w:val="center"/>
          </w:tcPr>
          <w:p w14:paraId="1B2AB795">
            <w:pPr>
              <w:pStyle w:val="39"/>
              <w:rPr>
                <w:rFonts w:ascii="宋体" w:hAnsi="宋体"/>
                <w:sz w:val="18"/>
                <w:szCs w:val="18"/>
              </w:rPr>
            </w:pPr>
            <w:r>
              <w:rPr>
                <w:rFonts w:ascii="宋体" w:hAnsi="宋体"/>
                <w:sz w:val="18"/>
                <w:szCs w:val="18"/>
              </w:rPr>
              <w:t>0.5098</w:t>
            </w:r>
          </w:p>
        </w:tc>
        <w:tc>
          <w:tcPr>
            <w:tcW w:w="744" w:type="dxa"/>
            <w:noWrap/>
            <w:vAlign w:val="center"/>
          </w:tcPr>
          <w:p w14:paraId="50D1926A">
            <w:pPr>
              <w:pStyle w:val="39"/>
              <w:rPr>
                <w:rFonts w:ascii="宋体" w:hAnsi="宋体"/>
                <w:sz w:val="18"/>
                <w:szCs w:val="18"/>
              </w:rPr>
            </w:pPr>
            <w:r>
              <w:rPr>
                <w:rFonts w:ascii="宋体" w:hAnsi="宋体"/>
                <w:sz w:val="18"/>
                <w:szCs w:val="18"/>
              </w:rPr>
              <w:t>0.4858</w:t>
            </w:r>
          </w:p>
        </w:tc>
      </w:tr>
      <w:tr w14:paraId="40C83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45" w:type="dxa"/>
            <w:noWrap/>
            <w:vAlign w:val="center"/>
          </w:tcPr>
          <w:p w14:paraId="546ECE81">
            <w:pPr>
              <w:pStyle w:val="39"/>
              <w:rPr>
                <w:rFonts w:ascii="宋体" w:hAnsi="宋体"/>
                <w:sz w:val="18"/>
                <w:szCs w:val="18"/>
              </w:rPr>
            </w:pPr>
            <w:r>
              <w:rPr>
                <w:rFonts w:ascii="宋体" w:hAnsi="宋体"/>
                <w:sz w:val="18"/>
                <w:szCs w:val="18"/>
              </w:rPr>
              <w:t>0.35</w:t>
            </w:r>
          </w:p>
        </w:tc>
        <w:tc>
          <w:tcPr>
            <w:tcW w:w="745" w:type="dxa"/>
            <w:noWrap/>
            <w:vAlign w:val="center"/>
          </w:tcPr>
          <w:p w14:paraId="39F4FB69">
            <w:pPr>
              <w:pStyle w:val="39"/>
              <w:rPr>
                <w:rFonts w:ascii="宋体" w:hAnsi="宋体"/>
                <w:sz w:val="18"/>
                <w:szCs w:val="18"/>
              </w:rPr>
            </w:pPr>
            <w:r>
              <w:rPr>
                <w:rFonts w:ascii="宋体" w:hAnsi="宋体"/>
                <w:sz w:val="18"/>
                <w:szCs w:val="18"/>
              </w:rPr>
              <w:t>1.0154</w:t>
            </w:r>
          </w:p>
        </w:tc>
        <w:tc>
          <w:tcPr>
            <w:tcW w:w="745" w:type="dxa"/>
            <w:noWrap/>
            <w:vAlign w:val="center"/>
          </w:tcPr>
          <w:p w14:paraId="065DCF1A">
            <w:pPr>
              <w:pStyle w:val="39"/>
              <w:rPr>
                <w:rFonts w:ascii="宋体" w:hAnsi="宋体"/>
                <w:sz w:val="18"/>
                <w:szCs w:val="18"/>
              </w:rPr>
            </w:pPr>
            <w:r>
              <w:rPr>
                <w:rFonts w:ascii="宋体" w:hAnsi="宋体"/>
                <w:sz w:val="18"/>
                <w:szCs w:val="18"/>
              </w:rPr>
              <w:t>0.9410</w:t>
            </w:r>
          </w:p>
        </w:tc>
        <w:tc>
          <w:tcPr>
            <w:tcW w:w="745" w:type="dxa"/>
            <w:noWrap/>
            <w:vAlign w:val="center"/>
          </w:tcPr>
          <w:p w14:paraId="57DED7C2">
            <w:pPr>
              <w:pStyle w:val="39"/>
              <w:rPr>
                <w:rFonts w:ascii="宋体" w:hAnsi="宋体"/>
                <w:sz w:val="18"/>
                <w:szCs w:val="18"/>
              </w:rPr>
            </w:pPr>
            <w:r>
              <w:rPr>
                <w:rFonts w:ascii="宋体" w:hAnsi="宋体"/>
                <w:sz w:val="18"/>
                <w:szCs w:val="18"/>
              </w:rPr>
              <w:t>0.8759</w:t>
            </w:r>
          </w:p>
        </w:tc>
        <w:tc>
          <w:tcPr>
            <w:tcW w:w="744" w:type="dxa"/>
            <w:noWrap/>
            <w:vAlign w:val="center"/>
          </w:tcPr>
          <w:p w14:paraId="1B0819FA">
            <w:pPr>
              <w:pStyle w:val="39"/>
              <w:rPr>
                <w:rFonts w:ascii="宋体" w:hAnsi="宋体"/>
                <w:sz w:val="18"/>
                <w:szCs w:val="18"/>
              </w:rPr>
            </w:pPr>
            <w:r>
              <w:rPr>
                <w:rFonts w:ascii="宋体" w:hAnsi="宋体"/>
                <w:sz w:val="18"/>
                <w:szCs w:val="18"/>
              </w:rPr>
              <w:t>0.8186</w:t>
            </w:r>
          </w:p>
        </w:tc>
        <w:tc>
          <w:tcPr>
            <w:tcW w:w="744" w:type="dxa"/>
            <w:noWrap/>
            <w:vAlign w:val="center"/>
          </w:tcPr>
          <w:p w14:paraId="20D93FE6">
            <w:pPr>
              <w:pStyle w:val="39"/>
              <w:rPr>
                <w:rFonts w:ascii="宋体" w:hAnsi="宋体"/>
                <w:sz w:val="18"/>
                <w:szCs w:val="18"/>
              </w:rPr>
            </w:pPr>
            <w:r>
              <w:rPr>
                <w:rFonts w:ascii="宋体" w:hAnsi="宋体"/>
                <w:sz w:val="18"/>
                <w:szCs w:val="18"/>
              </w:rPr>
              <w:t>0.7679</w:t>
            </w:r>
          </w:p>
        </w:tc>
        <w:tc>
          <w:tcPr>
            <w:tcW w:w="744" w:type="dxa"/>
            <w:noWrap/>
            <w:vAlign w:val="center"/>
          </w:tcPr>
          <w:p w14:paraId="4975173F">
            <w:pPr>
              <w:pStyle w:val="39"/>
              <w:rPr>
                <w:rFonts w:ascii="宋体" w:hAnsi="宋体"/>
                <w:sz w:val="18"/>
                <w:szCs w:val="18"/>
              </w:rPr>
            </w:pPr>
            <w:r>
              <w:rPr>
                <w:rFonts w:ascii="宋体" w:hAnsi="宋体"/>
                <w:sz w:val="18"/>
                <w:szCs w:val="18"/>
              </w:rPr>
              <w:t>0.7226</w:t>
            </w:r>
          </w:p>
        </w:tc>
        <w:tc>
          <w:tcPr>
            <w:tcW w:w="744" w:type="dxa"/>
            <w:noWrap/>
            <w:vAlign w:val="center"/>
          </w:tcPr>
          <w:p w14:paraId="2C09AAAC">
            <w:pPr>
              <w:pStyle w:val="39"/>
              <w:rPr>
                <w:rFonts w:ascii="宋体" w:hAnsi="宋体"/>
                <w:sz w:val="18"/>
                <w:szCs w:val="18"/>
              </w:rPr>
            </w:pPr>
            <w:r>
              <w:rPr>
                <w:rFonts w:ascii="宋体" w:hAnsi="宋体"/>
                <w:sz w:val="18"/>
                <w:szCs w:val="18"/>
              </w:rPr>
              <w:t>0.6820</w:t>
            </w:r>
          </w:p>
        </w:tc>
        <w:tc>
          <w:tcPr>
            <w:tcW w:w="744" w:type="dxa"/>
            <w:noWrap/>
            <w:vAlign w:val="center"/>
          </w:tcPr>
          <w:p w14:paraId="09E559B6">
            <w:pPr>
              <w:pStyle w:val="39"/>
              <w:rPr>
                <w:rFonts w:ascii="宋体" w:hAnsi="宋体"/>
                <w:sz w:val="18"/>
                <w:szCs w:val="18"/>
              </w:rPr>
            </w:pPr>
            <w:r>
              <w:rPr>
                <w:rFonts w:ascii="宋体" w:hAnsi="宋体"/>
                <w:sz w:val="18"/>
                <w:szCs w:val="18"/>
              </w:rPr>
              <w:t>0.6455</w:t>
            </w:r>
          </w:p>
        </w:tc>
        <w:tc>
          <w:tcPr>
            <w:tcW w:w="744" w:type="dxa"/>
            <w:noWrap/>
            <w:vAlign w:val="center"/>
          </w:tcPr>
          <w:p w14:paraId="3EAF4AB2">
            <w:pPr>
              <w:pStyle w:val="39"/>
              <w:rPr>
                <w:rFonts w:ascii="宋体" w:hAnsi="宋体"/>
                <w:sz w:val="18"/>
                <w:szCs w:val="18"/>
              </w:rPr>
            </w:pPr>
            <w:r>
              <w:rPr>
                <w:rFonts w:ascii="宋体" w:hAnsi="宋体"/>
                <w:sz w:val="18"/>
                <w:szCs w:val="18"/>
              </w:rPr>
              <w:t>0.6125</w:t>
            </w:r>
          </w:p>
        </w:tc>
        <w:tc>
          <w:tcPr>
            <w:tcW w:w="744" w:type="dxa"/>
            <w:noWrap/>
            <w:vAlign w:val="center"/>
          </w:tcPr>
          <w:p w14:paraId="65D1759D">
            <w:pPr>
              <w:pStyle w:val="39"/>
              <w:rPr>
                <w:rFonts w:ascii="宋体" w:hAnsi="宋体"/>
                <w:sz w:val="18"/>
                <w:szCs w:val="18"/>
              </w:rPr>
            </w:pPr>
            <w:r>
              <w:rPr>
                <w:rFonts w:ascii="宋体" w:hAnsi="宋体"/>
                <w:sz w:val="18"/>
                <w:szCs w:val="18"/>
              </w:rPr>
              <w:t>0.5824</w:t>
            </w:r>
          </w:p>
        </w:tc>
        <w:tc>
          <w:tcPr>
            <w:tcW w:w="744" w:type="dxa"/>
            <w:noWrap/>
            <w:vAlign w:val="center"/>
          </w:tcPr>
          <w:p w14:paraId="2F99F7E8">
            <w:pPr>
              <w:pStyle w:val="39"/>
              <w:rPr>
                <w:rFonts w:ascii="宋体" w:hAnsi="宋体"/>
                <w:sz w:val="18"/>
                <w:szCs w:val="18"/>
              </w:rPr>
            </w:pPr>
            <w:r>
              <w:rPr>
                <w:rFonts w:ascii="宋体" w:hAnsi="宋体"/>
                <w:sz w:val="18"/>
                <w:szCs w:val="18"/>
              </w:rPr>
              <w:t>0.5551</w:t>
            </w:r>
          </w:p>
        </w:tc>
      </w:tr>
      <w:tr w14:paraId="2B014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45" w:type="dxa"/>
            <w:noWrap/>
            <w:vAlign w:val="center"/>
          </w:tcPr>
          <w:p w14:paraId="5C66E19A">
            <w:pPr>
              <w:pStyle w:val="39"/>
              <w:rPr>
                <w:rFonts w:ascii="宋体" w:hAnsi="宋体"/>
                <w:sz w:val="18"/>
                <w:szCs w:val="18"/>
              </w:rPr>
            </w:pPr>
            <w:r>
              <w:rPr>
                <w:rFonts w:ascii="宋体" w:hAnsi="宋体"/>
                <w:sz w:val="18"/>
                <w:szCs w:val="18"/>
              </w:rPr>
              <w:t>0.40</w:t>
            </w:r>
          </w:p>
        </w:tc>
        <w:tc>
          <w:tcPr>
            <w:tcW w:w="745" w:type="dxa"/>
            <w:noWrap/>
            <w:vAlign w:val="center"/>
          </w:tcPr>
          <w:p w14:paraId="71E9C096">
            <w:pPr>
              <w:pStyle w:val="39"/>
              <w:rPr>
                <w:rFonts w:ascii="宋体" w:hAnsi="宋体"/>
                <w:sz w:val="18"/>
                <w:szCs w:val="18"/>
              </w:rPr>
            </w:pPr>
            <w:r>
              <w:rPr>
                <w:rFonts w:ascii="宋体" w:hAnsi="宋体"/>
                <w:sz w:val="18"/>
                <w:szCs w:val="18"/>
              </w:rPr>
              <w:t>1.1322</w:t>
            </w:r>
          </w:p>
        </w:tc>
        <w:tc>
          <w:tcPr>
            <w:tcW w:w="745" w:type="dxa"/>
            <w:noWrap/>
            <w:vAlign w:val="center"/>
          </w:tcPr>
          <w:p w14:paraId="2F8E2D0F">
            <w:pPr>
              <w:pStyle w:val="39"/>
              <w:rPr>
                <w:rFonts w:ascii="宋体" w:hAnsi="宋体"/>
                <w:sz w:val="18"/>
                <w:szCs w:val="18"/>
              </w:rPr>
            </w:pPr>
            <w:r>
              <w:rPr>
                <w:rFonts w:ascii="宋体" w:hAnsi="宋体"/>
                <w:sz w:val="18"/>
                <w:szCs w:val="18"/>
              </w:rPr>
              <w:t>1.0492</w:t>
            </w:r>
          </w:p>
        </w:tc>
        <w:tc>
          <w:tcPr>
            <w:tcW w:w="745" w:type="dxa"/>
            <w:noWrap/>
            <w:vAlign w:val="center"/>
          </w:tcPr>
          <w:p w14:paraId="7C6367F2">
            <w:pPr>
              <w:pStyle w:val="39"/>
              <w:rPr>
                <w:rFonts w:ascii="宋体" w:hAnsi="宋体"/>
                <w:sz w:val="18"/>
                <w:szCs w:val="18"/>
              </w:rPr>
            </w:pPr>
            <w:r>
              <w:rPr>
                <w:rFonts w:ascii="宋体" w:hAnsi="宋体"/>
                <w:sz w:val="18"/>
                <w:szCs w:val="18"/>
              </w:rPr>
              <w:t>0.9767</w:t>
            </w:r>
          </w:p>
        </w:tc>
        <w:tc>
          <w:tcPr>
            <w:tcW w:w="744" w:type="dxa"/>
            <w:noWrap/>
            <w:vAlign w:val="center"/>
          </w:tcPr>
          <w:p w14:paraId="0C97A468">
            <w:pPr>
              <w:pStyle w:val="39"/>
              <w:rPr>
                <w:rFonts w:ascii="宋体" w:hAnsi="宋体"/>
                <w:sz w:val="18"/>
                <w:szCs w:val="18"/>
              </w:rPr>
            </w:pPr>
            <w:r>
              <w:rPr>
                <w:rFonts w:ascii="宋体" w:hAnsi="宋体"/>
                <w:sz w:val="18"/>
                <w:szCs w:val="18"/>
              </w:rPr>
              <w:t>0.9128</w:t>
            </w:r>
          </w:p>
        </w:tc>
        <w:tc>
          <w:tcPr>
            <w:tcW w:w="744" w:type="dxa"/>
            <w:noWrap/>
            <w:vAlign w:val="center"/>
          </w:tcPr>
          <w:p w14:paraId="308AD611">
            <w:pPr>
              <w:pStyle w:val="39"/>
              <w:rPr>
                <w:rFonts w:ascii="宋体" w:hAnsi="宋体"/>
                <w:sz w:val="18"/>
                <w:szCs w:val="18"/>
              </w:rPr>
            </w:pPr>
            <w:r>
              <w:rPr>
                <w:rFonts w:ascii="宋体" w:hAnsi="宋体"/>
                <w:sz w:val="18"/>
                <w:szCs w:val="18"/>
              </w:rPr>
              <w:t>0.8563</w:t>
            </w:r>
          </w:p>
        </w:tc>
        <w:tc>
          <w:tcPr>
            <w:tcW w:w="744" w:type="dxa"/>
            <w:noWrap/>
            <w:vAlign w:val="center"/>
          </w:tcPr>
          <w:p w14:paraId="59430B10">
            <w:pPr>
              <w:pStyle w:val="39"/>
              <w:rPr>
                <w:rFonts w:ascii="宋体" w:hAnsi="宋体"/>
                <w:sz w:val="18"/>
                <w:szCs w:val="18"/>
              </w:rPr>
            </w:pPr>
            <w:r>
              <w:rPr>
                <w:rFonts w:ascii="宋体" w:hAnsi="宋体"/>
                <w:sz w:val="18"/>
                <w:szCs w:val="18"/>
              </w:rPr>
              <w:t>0.8058</w:t>
            </w:r>
          </w:p>
        </w:tc>
        <w:tc>
          <w:tcPr>
            <w:tcW w:w="744" w:type="dxa"/>
            <w:noWrap/>
            <w:vAlign w:val="center"/>
          </w:tcPr>
          <w:p w14:paraId="7C0C4A30">
            <w:pPr>
              <w:pStyle w:val="39"/>
              <w:rPr>
                <w:rFonts w:ascii="宋体" w:hAnsi="宋体"/>
                <w:sz w:val="18"/>
                <w:szCs w:val="18"/>
              </w:rPr>
            </w:pPr>
            <w:r>
              <w:rPr>
                <w:rFonts w:ascii="宋体" w:hAnsi="宋体"/>
                <w:sz w:val="18"/>
                <w:szCs w:val="18"/>
              </w:rPr>
              <w:t>0.7606</w:t>
            </w:r>
          </w:p>
        </w:tc>
        <w:tc>
          <w:tcPr>
            <w:tcW w:w="744" w:type="dxa"/>
            <w:noWrap/>
            <w:vAlign w:val="center"/>
          </w:tcPr>
          <w:p w14:paraId="7E870A6C">
            <w:pPr>
              <w:pStyle w:val="39"/>
              <w:rPr>
                <w:rFonts w:ascii="宋体" w:hAnsi="宋体"/>
                <w:sz w:val="18"/>
                <w:szCs w:val="18"/>
              </w:rPr>
            </w:pPr>
            <w:r>
              <w:rPr>
                <w:rFonts w:ascii="宋体" w:hAnsi="宋体"/>
                <w:sz w:val="18"/>
                <w:szCs w:val="18"/>
              </w:rPr>
              <w:t>0.7199</w:t>
            </w:r>
          </w:p>
        </w:tc>
        <w:tc>
          <w:tcPr>
            <w:tcW w:w="744" w:type="dxa"/>
            <w:noWrap/>
            <w:vAlign w:val="center"/>
          </w:tcPr>
          <w:p w14:paraId="1DA7BC29">
            <w:pPr>
              <w:pStyle w:val="39"/>
              <w:rPr>
                <w:rFonts w:ascii="宋体" w:hAnsi="宋体"/>
                <w:sz w:val="18"/>
                <w:szCs w:val="18"/>
              </w:rPr>
            </w:pPr>
            <w:r>
              <w:rPr>
                <w:rFonts w:ascii="宋体" w:hAnsi="宋体"/>
                <w:sz w:val="18"/>
                <w:szCs w:val="18"/>
              </w:rPr>
              <w:t>0.6831</w:t>
            </w:r>
          </w:p>
        </w:tc>
        <w:tc>
          <w:tcPr>
            <w:tcW w:w="744" w:type="dxa"/>
            <w:noWrap/>
            <w:vAlign w:val="center"/>
          </w:tcPr>
          <w:p w14:paraId="46EA2C2A">
            <w:pPr>
              <w:pStyle w:val="39"/>
              <w:rPr>
                <w:rFonts w:ascii="宋体" w:hAnsi="宋体"/>
                <w:sz w:val="18"/>
                <w:szCs w:val="18"/>
              </w:rPr>
            </w:pPr>
            <w:r>
              <w:rPr>
                <w:rFonts w:ascii="宋体" w:hAnsi="宋体"/>
                <w:sz w:val="18"/>
                <w:szCs w:val="18"/>
              </w:rPr>
              <w:t>0.6497</w:t>
            </w:r>
          </w:p>
        </w:tc>
        <w:tc>
          <w:tcPr>
            <w:tcW w:w="744" w:type="dxa"/>
            <w:noWrap/>
            <w:vAlign w:val="center"/>
          </w:tcPr>
          <w:p w14:paraId="20AD14BC">
            <w:pPr>
              <w:pStyle w:val="39"/>
              <w:rPr>
                <w:rFonts w:ascii="宋体" w:hAnsi="宋体"/>
                <w:sz w:val="18"/>
                <w:szCs w:val="18"/>
              </w:rPr>
            </w:pPr>
            <w:r>
              <w:rPr>
                <w:rFonts w:ascii="宋体" w:hAnsi="宋体"/>
                <w:sz w:val="18"/>
                <w:szCs w:val="18"/>
              </w:rPr>
              <w:t>0.6192</w:t>
            </w:r>
          </w:p>
        </w:tc>
      </w:tr>
      <w:tr w14:paraId="435BD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45" w:type="dxa"/>
            <w:noWrap/>
          </w:tcPr>
          <w:p w14:paraId="6A77BE8B">
            <w:pPr>
              <w:pStyle w:val="39"/>
              <w:rPr>
                <w:rFonts w:ascii="宋体" w:hAnsi="宋体"/>
                <w:sz w:val="18"/>
                <w:szCs w:val="18"/>
              </w:rPr>
            </w:pPr>
            <w:r>
              <w:rPr>
                <w:rFonts w:ascii="宋体" w:hAnsi="宋体"/>
                <w:sz w:val="18"/>
                <w:szCs w:val="18"/>
              </w:rPr>
              <w:t xml:space="preserve">0.45 </w:t>
            </w:r>
          </w:p>
        </w:tc>
        <w:tc>
          <w:tcPr>
            <w:tcW w:w="745" w:type="dxa"/>
            <w:noWrap/>
          </w:tcPr>
          <w:p w14:paraId="0ED5B7A3">
            <w:pPr>
              <w:pStyle w:val="39"/>
              <w:rPr>
                <w:rFonts w:ascii="宋体" w:hAnsi="宋体"/>
                <w:sz w:val="18"/>
                <w:szCs w:val="18"/>
              </w:rPr>
            </w:pPr>
            <w:r>
              <w:rPr>
                <w:rFonts w:ascii="宋体" w:hAnsi="宋体"/>
                <w:sz w:val="18"/>
                <w:szCs w:val="18"/>
              </w:rPr>
              <w:t xml:space="preserve">1.2385 </w:t>
            </w:r>
          </w:p>
        </w:tc>
        <w:tc>
          <w:tcPr>
            <w:tcW w:w="745" w:type="dxa"/>
            <w:noWrap/>
          </w:tcPr>
          <w:p w14:paraId="37F29339">
            <w:pPr>
              <w:pStyle w:val="39"/>
              <w:rPr>
                <w:rFonts w:ascii="宋体" w:hAnsi="宋体"/>
                <w:sz w:val="18"/>
                <w:szCs w:val="18"/>
              </w:rPr>
            </w:pPr>
            <w:r>
              <w:rPr>
                <w:rFonts w:ascii="宋体" w:hAnsi="宋体"/>
                <w:sz w:val="18"/>
                <w:szCs w:val="18"/>
              </w:rPr>
              <w:t xml:space="preserve">1.1477 </w:t>
            </w:r>
          </w:p>
        </w:tc>
        <w:tc>
          <w:tcPr>
            <w:tcW w:w="745" w:type="dxa"/>
            <w:noWrap/>
          </w:tcPr>
          <w:p w14:paraId="7006D595">
            <w:pPr>
              <w:pStyle w:val="39"/>
              <w:rPr>
                <w:rFonts w:ascii="宋体" w:hAnsi="宋体"/>
                <w:sz w:val="18"/>
                <w:szCs w:val="18"/>
              </w:rPr>
            </w:pPr>
            <w:r>
              <w:rPr>
                <w:rFonts w:ascii="宋体" w:hAnsi="宋体"/>
                <w:sz w:val="18"/>
                <w:szCs w:val="18"/>
              </w:rPr>
              <w:t xml:space="preserve">1.0684 </w:t>
            </w:r>
          </w:p>
        </w:tc>
        <w:tc>
          <w:tcPr>
            <w:tcW w:w="744" w:type="dxa"/>
            <w:noWrap/>
          </w:tcPr>
          <w:p w14:paraId="513CBA33">
            <w:pPr>
              <w:pStyle w:val="39"/>
              <w:rPr>
                <w:rFonts w:ascii="宋体" w:hAnsi="宋体"/>
                <w:sz w:val="18"/>
                <w:szCs w:val="18"/>
              </w:rPr>
            </w:pPr>
            <w:r>
              <w:rPr>
                <w:rFonts w:ascii="宋体" w:hAnsi="宋体"/>
                <w:sz w:val="18"/>
                <w:szCs w:val="18"/>
              </w:rPr>
              <w:t xml:space="preserve">0.9986 </w:t>
            </w:r>
          </w:p>
        </w:tc>
        <w:tc>
          <w:tcPr>
            <w:tcW w:w="744" w:type="dxa"/>
            <w:noWrap/>
          </w:tcPr>
          <w:p w14:paraId="21C02726">
            <w:pPr>
              <w:pStyle w:val="39"/>
              <w:rPr>
                <w:rFonts w:ascii="宋体" w:hAnsi="宋体"/>
                <w:sz w:val="18"/>
                <w:szCs w:val="18"/>
              </w:rPr>
            </w:pPr>
            <w:r>
              <w:rPr>
                <w:rFonts w:ascii="宋体" w:hAnsi="宋体"/>
                <w:sz w:val="18"/>
                <w:szCs w:val="18"/>
              </w:rPr>
              <w:t xml:space="preserve">0.9367 </w:t>
            </w:r>
          </w:p>
        </w:tc>
        <w:tc>
          <w:tcPr>
            <w:tcW w:w="744" w:type="dxa"/>
            <w:noWrap/>
          </w:tcPr>
          <w:p w14:paraId="63AA9081">
            <w:pPr>
              <w:pStyle w:val="39"/>
              <w:rPr>
                <w:rFonts w:ascii="宋体" w:hAnsi="宋体"/>
                <w:sz w:val="18"/>
                <w:szCs w:val="18"/>
              </w:rPr>
            </w:pPr>
            <w:r>
              <w:rPr>
                <w:rFonts w:ascii="宋体" w:hAnsi="宋体"/>
                <w:sz w:val="18"/>
                <w:szCs w:val="18"/>
              </w:rPr>
              <w:t xml:space="preserve">0.8816 </w:t>
            </w:r>
          </w:p>
        </w:tc>
        <w:tc>
          <w:tcPr>
            <w:tcW w:w="744" w:type="dxa"/>
            <w:noWrap/>
          </w:tcPr>
          <w:p w14:paraId="21768B71">
            <w:pPr>
              <w:pStyle w:val="39"/>
              <w:rPr>
                <w:rFonts w:ascii="宋体" w:hAnsi="宋体"/>
                <w:sz w:val="18"/>
                <w:szCs w:val="18"/>
              </w:rPr>
            </w:pPr>
            <w:r>
              <w:rPr>
                <w:rFonts w:ascii="宋体" w:hAnsi="宋体"/>
                <w:sz w:val="18"/>
                <w:szCs w:val="18"/>
              </w:rPr>
              <w:t xml:space="preserve">0.8322 </w:t>
            </w:r>
          </w:p>
        </w:tc>
        <w:tc>
          <w:tcPr>
            <w:tcW w:w="744" w:type="dxa"/>
            <w:noWrap/>
          </w:tcPr>
          <w:p w14:paraId="5BD03B13">
            <w:pPr>
              <w:pStyle w:val="39"/>
              <w:rPr>
                <w:rFonts w:ascii="宋体" w:hAnsi="宋体"/>
                <w:sz w:val="18"/>
                <w:szCs w:val="18"/>
              </w:rPr>
            </w:pPr>
            <w:r>
              <w:rPr>
                <w:rFonts w:ascii="宋体" w:hAnsi="宋体"/>
                <w:sz w:val="18"/>
                <w:szCs w:val="18"/>
              </w:rPr>
              <w:t xml:space="preserve">0.7878 </w:t>
            </w:r>
          </w:p>
        </w:tc>
        <w:tc>
          <w:tcPr>
            <w:tcW w:w="744" w:type="dxa"/>
            <w:noWrap/>
          </w:tcPr>
          <w:p w14:paraId="5E773D9D">
            <w:pPr>
              <w:pStyle w:val="39"/>
              <w:rPr>
                <w:rFonts w:ascii="宋体" w:hAnsi="宋体"/>
                <w:sz w:val="18"/>
                <w:szCs w:val="18"/>
              </w:rPr>
            </w:pPr>
            <w:r>
              <w:rPr>
                <w:rFonts w:ascii="宋体" w:hAnsi="宋体"/>
                <w:sz w:val="18"/>
                <w:szCs w:val="18"/>
              </w:rPr>
              <w:t xml:space="preserve">0.7476 </w:t>
            </w:r>
          </w:p>
        </w:tc>
        <w:tc>
          <w:tcPr>
            <w:tcW w:w="744" w:type="dxa"/>
            <w:noWrap/>
          </w:tcPr>
          <w:p w14:paraId="1F839797">
            <w:pPr>
              <w:pStyle w:val="39"/>
              <w:rPr>
                <w:rFonts w:ascii="宋体" w:hAnsi="宋体"/>
                <w:sz w:val="18"/>
                <w:szCs w:val="18"/>
              </w:rPr>
            </w:pPr>
            <w:r>
              <w:rPr>
                <w:rFonts w:ascii="宋体" w:hAnsi="宋体"/>
                <w:sz w:val="18"/>
                <w:szCs w:val="18"/>
              </w:rPr>
              <w:t xml:space="preserve">0.7111 </w:t>
            </w:r>
          </w:p>
        </w:tc>
        <w:tc>
          <w:tcPr>
            <w:tcW w:w="744" w:type="dxa"/>
            <w:noWrap/>
          </w:tcPr>
          <w:p w14:paraId="165B3062">
            <w:pPr>
              <w:pStyle w:val="39"/>
              <w:rPr>
                <w:rFonts w:ascii="宋体" w:hAnsi="宋体"/>
                <w:sz w:val="18"/>
                <w:szCs w:val="18"/>
              </w:rPr>
            </w:pPr>
            <w:r>
              <w:rPr>
                <w:rFonts w:ascii="宋体" w:hAnsi="宋体"/>
                <w:sz w:val="18"/>
                <w:szCs w:val="18"/>
              </w:rPr>
              <w:t xml:space="preserve">0.6778 </w:t>
            </w:r>
          </w:p>
        </w:tc>
      </w:tr>
      <w:tr w14:paraId="3F702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45" w:type="dxa"/>
            <w:noWrap/>
          </w:tcPr>
          <w:p w14:paraId="36A34215">
            <w:pPr>
              <w:pStyle w:val="39"/>
              <w:rPr>
                <w:rFonts w:ascii="宋体" w:hAnsi="宋体"/>
                <w:sz w:val="18"/>
                <w:szCs w:val="18"/>
              </w:rPr>
            </w:pPr>
            <w:r>
              <w:rPr>
                <w:rFonts w:ascii="宋体" w:hAnsi="宋体"/>
                <w:sz w:val="18"/>
                <w:szCs w:val="18"/>
              </w:rPr>
              <w:t xml:space="preserve">0.50 </w:t>
            </w:r>
          </w:p>
        </w:tc>
        <w:tc>
          <w:tcPr>
            <w:tcW w:w="745" w:type="dxa"/>
            <w:noWrap/>
          </w:tcPr>
          <w:p w14:paraId="302AF31A">
            <w:pPr>
              <w:pStyle w:val="39"/>
              <w:rPr>
                <w:rFonts w:ascii="宋体" w:hAnsi="宋体"/>
                <w:sz w:val="18"/>
                <w:szCs w:val="18"/>
              </w:rPr>
            </w:pPr>
            <w:r>
              <w:rPr>
                <w:rFonts w:ascii="宋体" w:hAnsi="宋体"/>
                <w:sz w:val="18"/>
                <w:szCs w:val="18"/>
              </w:rPr>
              <w:t xml:space="preserve">1.3333 </w:t>
            </w:r>
          </w:p>
        </w:tc>
        <w:tc>
          <w:tcPr>
            <w:tcW w:w="745" w:type="dxa"/>
            <w:noWrap/>
          </w:tcPr>
          <w:p w14:paraId="7ABCED41">
            <w:pPr>
              <w:pStyle w:val="39"/>
              <w:rPr>
                <w:rFonts w:ascii="宋体" w:hAnsi="宋体"/>
                <w:sz w:val="18"/>
                <w:szCs w:val="18"/>
              </w:rPr>
            </w:pPr>
            <w:r>
              <w:rPr>
                <w:rFonts w:ascii="宋体" w:hAnsi="宋体"/>
                <w:sz w:val="18"/>
                <w:szCs w:val="18"/>
              </w:rPr>
              <w:t xml:space="preserve">1.2356 </w:t>
            </w:r>
          </w:p>
        </w:tc>
        <w:tc>
          <w:tcPr>
            <w:tcW w:w="745" w:type="dxa"/>
            <w:noWrap/>
          </w:tcPr>
          <w:p w14:paraId="3CE6DB63">
            <w:pPr>
              <w:pStyle w:val="39"/>
              <w:rPr>
                <w:rFonts w:ascii="宋体" w:hAnsi="宋体"/>
                <w:sz w:val="18"/>
                <w:szCs w:val="18"/>
              </w:rPr>
            </w:pPr>
            <w:r>
              <w:rPr>
                <w:rFonts w:ascii="宋体" w:hAnsi="宋体"/>
                <w:sz w:val="18"/>
                <w:szCs w:val="18"/>
              </w:rPr>
              <w:t xml:space="preserve">1.1503 </w:t>
            </w:r>
          </w:p>
        </w:tc>
        <w:tc>
          <w:tcPr>
            <w:tcW w:w="744" w:type="dxa"/>
            <w:noWrap/>
          </w:tcPr>
          <w:p w14:paraId="7F7B39B5">
            <w:pPr>
              <w:pStyle w:val="39"/>
              <w:rPr>
                <w:rFonts w:ascii="宋体" w:hAnsi="宋体"/>
                <w:sz w:val="18"/>
                <w:szCs w:val="18"/>
              </w:rPr>
            </w:pPr>
            <w:r>
              <w:rPr>
                <w:rFonts w:ascii="宋体" w:hAnsi="宋体"/>
                <w:sz w:val="18"/>
                <w:szCs w:val="18"/>
              </w:rPr>
              <w:t xml:space="preserve">1.0752 </w:t>
            </w:r>
          </w:p>
        </w:tc>
        <w:tc>
          <w:tcPr>
            <w:tcW w:w="744" w:type="dxa"/>
            <w:noWrap/>
          </w:tcPr>
          <w:p w14:paraId="3561BF4E">
            <w:pPr>
              <w:pStyle w:val="39"/>
              <w:rPr>
                <w:rFonts w:ascii="宋体" w:hAnsi="宋体"/>
                <w:sz w:val="18"/>
                <w:szCs w:val="18"/>
              </w:rPr>
            </w:pPr>
            <w:r>
              <w:rPr>
                <w:rFonts w:ascii="宋体" w:hAnsi="宋体"/>
                <w:sz w:val="18"/>
                <w:szCs w:val="18"/>
              </w:rPr>
              <w:t xml:space="preserve">1.0086 </w:t>
            </w:r>
          </w:p>
        </w:tc>
        <w:tc>
          <w:tcPr>
            <w:tcW w:w="744" w:type="dxa"/>
            <w:noWrap/>
          </w:tcPr>
          <w:p w14:paraId="01F4D234">
            <w:pPr>
              <w:pStyle w:val="39"/>
              <w:rPr>
                <w:rFonts w:ascii="宋体" w:hAnsi="宋体"/>
                <w:sz w:val="18"/>
                <w:szCs w:val="18"/>
              </w:rPr>
            </w:pPr>
            <w:r>
              <w:rPr>
                <w:rFonts w:ascii="宋体" w:hAnsi="宋体"/>
                <w:sz w:val="18"/>
                <w:szCs w:val="18"/>
              </w:rPr>
              <w:t xml:space="preserve">0.9494 </w:t>
            </w:r>
          </w:p>
        </w:tc>
        <w:tc>
          <w:tcPr>
            <w:tcW w:w="744" w:type="dxa"/>
            <w:noWrap/>
          </w:tcPr>
          <w:p w14:paraId="2830D794">
            <w:pPr>
              <w:pStyle w:val="39"/>
              <w:rPr>
                <w:rFonts w:ascii="宋体" w:hAnsi="宋体"/>
                <w:sz w:val="18"/>
                <w:szCs w:val="18"/>
              </w:rPr>
            </w:pPr>
            <w:r>
              <w:rPr>
                <w:rFonts w:ascii="宋体" w:hAnsi="宋体"/>
                <w:sz w:val="18"/>
                <w:szCs w:val="18"/>
              </w:rPr>
              <w:t xml:space="preserve">0.8963 </w:t>
            </w:r>
          </w:p>
        </w:tc>
        <w:tc>
          <w:tcPr>
            <w:tcW w:w="744" w:type="dxa"/>
            <w:noWrap/>
          </w:tcPr>
          <w:p w14:paraId="74CB1591">
            <w:pPr>
              <w:pStyle w:val="39"/>
              <w:rPr>
                <w:rFonts w:ascii="宋体" w:hAnsi="宋体"/>
                <w:sz w:val="18"/>
                <w:szCs w:val="18"/>
              </w:rPr>
            </w:pPr>
            <w:r>
              <w:rPr>
                <w:rFonts w:ascii="宋体" w:hAnsi="宋体"/>
                <w:sz w:val="18"/>
                <w:szCs w:val="18"/>
              </w:rPr>
              <w:t xml:space="preserve">0.8486 </w:t>
            </w:r>
          </w:p>
        </w:tc>
        <w:tc>
          <w:tcPr>
            <w:tcW w:w="744" w:type="dxa"/>
            <w:noWrap/>
          </w:tcPr>
          <w:p w14:paraId="2E07537D">
            <w:pPr>
              <w:pStyle w:val="39"/>
              <w:rPr>
                <w:rFonts w:ascii="宋体" w:hAnsi="宋体"/>
                <w:sz w:val="18"/>
                <w:szCs w:val="18"/>
              </w:rPr>
            </w:pPr>
            <w:r>
              <w:rPr>
                <w:rFonts w:ascii="宋体" w:hAnsi="宋体"/>
                <w:sz w:val="18"/>
                <w:szCs w:val="18"/>
              </w:rPr>
              <w:t xml:space="preserve">0.8054 </w:t>
            </w:r>
          </w:p>
        </w:tc>
        <w:tc>
          <w:tcPr>
            <w:tcW w:w="744" w:type="dxa"/>
            <w:noWrap/>
          </w:tcPr>
          <w:p w14:paraId="6A1AA6F8">
            <w:pPr>
              <w:pStyle w:val="39"/>
              <w:rPr>
                <w:rFonts w:ascii="宋体" w:hAnsi="宋体"/>
                <w:sz w:val="18"/>
                <w:szCs w:val="18"/>
              </w:rPr>
            </w:pPr>
            <w:r>
              <w:rPr>
                <w:rFonts w:ascii="宋体" w:hAnsi="宋体"/>
                <w:sz w:val="18"/>
                <w:szCs w:val="18"/>
              </w:rPr>
              <w:t xml:space="preserve">0.7662 </w:t>
            </w:r>
          </w:p>
        </w:tc>
        <w:tc>
          <w:tcPr>
            <w:tcW w:w="744" w:type="dxa"/>
            <w:noWrap/>
          </w:tcPr>
          <w:p w14:paraId="1B8459A7">
            <w:pPr>
              <w:pStyle w:val="39"/>
              <w:rPr>
                <w:rFonts w:ascii="宋体" w:hAnsi="宋体"/>
                <w:sz w:val="18"/>
                <w:szCs w:val="18"/>
              </w:rPr>
            </w:pPr>
            <w:r>
              <w:rPr>
                <w:rFonts w:ascii="宋体" w:hAnsi="宋体"/>
                <w:sz w:val="18"/>
                <w:szCs w:val="18"/>
              </w:rPr>
              <w:t xml:space="preserve">0.7305 </w:t>
            </w:r>
          </w:p>
        </w:tc>
      </w:tr>
      <w:tr w14:paraId="29593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45" w:type="dxa"/>
            <w:noWrap/>
          </w:tcPr>
          <w:p w14:paraId="4BDBEF44">
            <w:pPr>
              <w:pStyle w:val="39"/>
              <w:rPr>
                <w:rFonts w:ascii="宋体" w:hAnsi="宋体"/>
                <w:sz w:val="18"/>
                <w:szCs w:val="18"/>
              </w:rPr>
            </w:pPr>
            <w:r>
              <w:rPr>
                <w:rFonts w:ascii="宋体" w:hAnsi="宋体"/>
                <w:sz w:val="18"/>
                <w:szCs w:val="18"/>
              </w:rPr>
              <w:t xml:space="preserve">0.55 </w:t>
            </w:r>
          </w:p>
        </w:tc>
        <w:tc>
          <w:tcPr>
            <w:tcW w:w="745" w:type="dxa"/>
            <w:noWrap/>
          </w:tcPr>
          <w:p w14:paraId="4F76D227">
            <w:pPr>
              <w:pStyle w:val="39"/>
              <w:rPr>
                <w:rFonts w:ascii="宋体" w:hAnsi="宋体"/>
                <w:sz w:val="18"/>
                <w:szCs w:val="18"/>
              </w:rPr>
            </w:pPr>
            <w:r>
              <w:rPr>
                <w:rFonts w:ascii="宋体" w:hAnsi="宋体"/>
                <w:sz w:val="18"/>
                <w:szCs w:val="18"/>
              </w:rPr>
              <w:t xml:space="preserve">1.4161 </w:t>
            </w:r>
          </w:p>
        </w:tc>
        <w:tc>
          <w:tcPr>
            <w:tcW w:w="745" w:type="dxa"/>
            <w:noWrap/>
          </w:tcPr>
          <w:p w14:paraId="1C6902D4">
            <w:pPr>
              <w:pStyle w:val="39"/>
              <w:rPr>
                <w:rFonts w:ascii="宋体" w:hAnsi="宋体"/>
                <w:sz w:val="18"/>
                <w:szCs w:val="18"/>
              </w:rPr>
            </w:pPr>
            <w:r>
              <w:rPr>
                <w:rFonts w:ascii="宋体" w:hAnsi="宋体"/>
                <w:sz w:val="18"/>
                <w:szCs w:val="18"/>
              </w:rPr>
              <w:t xml:space="preserve">1.3124 </w:t>
            </w:r>
          </w:p>
        </w:tc>
        <w:tc>
          <w:tcPr>
            <w:tcW w:w="745" w:type="dxa"/>
            <w:noWrap/>
          </w:tcPr>
          <w:p w14:paraId="039E3EA2">
            <w:pPr>
              <w:pStyle w:val="39"/>
              <w:rPr>
                <w:rFonts w:ascii="宋体" w:hAnsi="宋体"/>
                <w:sz w:val="18"/>
                <w:szCs w:val="18"/>
              </w:rPr>
            </w:pPr>
            <w:r>
              <w:rPr>
                <w:rFonts w:ascii="宋体" w:hAnsi="宋体"/>
                <w:sz w:val="18"/>
                <w:szCs w:val="18"/>
              </w:rPr>
              <w:t xml:space="preserve">1.2218 </w:t>
            </w:r>
          </w:p>
        </w:tc>
        <w:tc>
          <w:tcPr>
            <w:tcW w:w="744" w:type="dxa"/>
            <w:noWrap/>
          </w:tcPr>
          <w:p w14:paraId="68D5887E">
            <w:pPr>
              <w:pStyle w:val="39"/>
              <w:rPr>
                <w:rFonts w:ascii="宋体" w:hAnsi="宋体"/>
                <w:sz w:val="18"/>
                <w:szCs w:val="18"/>
              </w:rPr>
            </w:pPr>
            <w:r>
              <w:rPr>
                <w:rFonts w:ascii="宋体" w:hAnsi="宋体"/>
                <w:sz w:val="18"/>
                <w:szCs w:val="18"/>
              </w:rPr>
              <w:t xml:space="preserve">1.1422 </w:t>
            </w:r>
          </w:p>
        </w:tc>
        <w:tc>
          <w:tcPr>
            <w:tcW w:w="744" w:type="dxa"/>
            <w:noWrap/>
          </w:tcPr>
          <w:p w14:paraId="62E23A17">
            <w:pPr>
              <w:pStyle w:val="39"/>
              <w:rPr>
                <w:rFonts w:ascii="宋体" w:hAnsi="宋体"/>
                <w:sz w:val="18"/>
                <w:szCs w:val="18"/>
              </w:rPr>
            </w:pPr>
            <w:r>
              <w:rPr>
                <w:rFonts w:ascii="宋体" w:hAnsi="宋体"/>
                <w:sz w:val="18"/>
                <w:szCs w:val="18"/>
              </w:rPr>
              <w:t xml:space="preserve">1.0717 </w:t>
            </w:r>
          </w:p>
        </w:tc>
        <w:tc>
          <w:tcPr>
            <w:tcW w:w="744" w:type="dxa"/>
            <w:noWrap/>
          </w:tcPr>
          <w:p w14:paraId="1BDB68E9">
            <w:pPr>
              <w:pStyle w:val="39"/>
              <w:rPr>
                <w:rFonts w:ascii="宋体" w:hAnsi="宋体"/>
                <w:sz w:val="18"/>
                <w:szCs w:val="18"/>
              </w:rPr>
            </w:pPr>
            <w:r>
              <w:rPr>
                <w:rFonts w:ascii="宋体" w:hAnsi="宋体"/>
                <w:sz w:val="18"/>
                <w:szCs w:val="18"/>
              </w:rPr>
              <w:t xml:space="preserve">1.0090 </w:t>
            </w:r>
          </w:p>
        </w:tc>
        <w:tc>
          <w:tcPr>
            <w:tcW w:w="744" w:type="dxa"/>
            <w:noWrap/>
          </w:tcPr>
          <w:p w14:paraId="4B548358">
            <w:pPr>
              <w:pStyle w:val="39"/>
              <w:rPr>
                <w:rFonts w:ascii="宋体" w:hAnsi="宋体"/>
                <w:sz w:val="18"/>
                <w:szCs w:val="18"/>
              </w:rPr>
            </w:pPr>
            <w:r>
              <w:rPr>
                <w:rFonts w:ascii="宋体" w:hAnsi="宋体"/>
                <w:sz w:val="18"/>
                <w:szCs w:val="18"/>
              </w:rPr>
              <w:t xml:space="preserve">0.9528 </w:t>
            </w:r>
          </w:p>
        </w:tc>
        <w:tc>
          <w:tcPr>
            <w:tcW w:w="744" w:type="dxa"/>
            <w:noWrap/>
          </w:tcPr>
          <w:p w14:paraId="043F9280">
            <w:pPr>
              <w:pStyle w:val="39"/>
              <w:rPr>
                <w:rFonts w:ascii="宋体" w:hAnsi="宋体"/>
                <w:sz w:val="18"/>
                <w:szCs w:val="18"/>
              </w:rPr>
            </w:pPr>
            <w:r>
              <w:rPr>
                <w:rFonts w:ascii="宋体" w:hAnsi="宋体"/>
                <w:sz w:val="18"/>
                <w:szCs w:val="18"/>
              </w:rPr>
              <w:t xml:space="preserve">0.9023 </w:t>
            </w:r>
          </w:p>
        </w:tc>
        <w:tc>
          <w:tcPr>
            <w:tcW w:w="744" w:type="dxa"/>
            <w:noWrap/>
          </w:tcPr>
          <w:p w14:paraId="15E3EF93">
            <w:pPr>
              <w:pStyle w:val="39"/>
              <w:rPr>
                <w:rFonts w:ascii="宋体" w:hAnsi="宋体"/>
                <w:sz w:val="18"/>
                <w:szCs w:val="18"/>
              </w:rPr>
            </w:pPr>
            <w:r>
              <w:rPr>
                <w:rFonts w:ascii="宋体" w:hAnsi="宋体"/>
                <w:sz w:val="18"/>
                <w:szCs w:val="18"/>
              </w:rPr>
              <w:t xml:space="preserve">0.8567 </w:t>
            </w:r>
          </w:p>
        </w:tc>
        <w:tc>
          <w:tcPr>
            <w:tcW w:w="744" w:type="dxa"/>
            <w:noWrap/>
          </w:tcPr>
          <w:p w14:paraId="646AA148">
            <w:pPr>
              <w:pStyle w:val="39"/>
              <w:rPr>
                <w:rFonts w:ascii="宋体" w:hAnsi="宋体"/>
                <w:sz w:val="18"/>
                <w:szCs w:val="18"/>
              </w:rPr>
            </w:pPr>
            <w:r>
              <w:rPr>
                <w:rFonts w:ascii="宋体" w:hAnsi="宋体"/>
                <w:sz w:val="18"/>
                <w:szCs w:val="18"/>
              </w:rPr>
              <w:t xml:space="preserve">0.8153 </w:t>
            </w:r>
          </w:p>
        </w:tc>
        <w:tc>
          <w:tcPr>
            <w:tcW w:w="744" w:type="dxa"/>
            <w:noWrap/>
          </w:tcPr>
          <w:p w14:paraId="69BA40EA">
            <w:pPr>
              <w:pStyle w:val="39"/>
              <w:rPr>
                <w:rFonts w:ascii="宋体" w:hAnsi="宋体"/>
                <w:sz w:val="18"/>
                <w:szCs w:val="18"/>
              </w:rPr>
            </w:pPr>
            <w:r>
              <w:rPr>
                <w:rFonts w:ascii="宋体" w:hAnsi="宋体"/>
                <w:sz w:val="18"/>
                <w:szCs w:val="18"/>
              </w:rPr>
              <w:t xml:space="preserve">0.7776 </w:t>
            </w:r>
          </w:p>
        </w:tc>
      </w:tr>
      <w:tr w14:paraId="305BE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45" w:type="dxa"/>
            <w:noWrap/>
          </w:tcPr>
          <w:p w14:paraId="5DC1ED82">
            <w:pPr>
              <w:pStyle w:val="39"/>
              <w:rPr>
                <w:rFonts w:ascii="宋体" w:hAnsi="宋体"/>
                <w:sz w:val="18"/>
                <w:szCs w:val="18"/>
              </w:rPr>
            </w:pPr>
            <w:r>
              <w:rPr>
                <w:rFonts w:ascii="宋体" w:hAnsi="宋体"/>
                <w:sz w:val="18"/>
                <w:szCs w:val="18"/>
              </w:rPr>
              <w:t xml:space="preserve">0.60 </w:t>
            </w:r>
          </w:p>
        </w:tc>
        <w:tc>
          <w:tcPr>
            <w:tcW w:w="745" w:type="dxa"/>
            <w:noWrap/>
          </w:tcPr>
          <w:p w14:paraId="73C18EF5">
            <w:pPr>
              <w:pStyle w:val="39"/>
              <w:rPr>
                <w:rFonts w:ascii="宋体" w:hAnsi="宋体"/>
                <w:sz w:val="18"/>
                <w:szCs w:val="18"/>
              </w:rPr>
            </w:pPr>
            <w:r>
              <w:rPr>
                <w:rFonts w:ascii="宋体" w:hAnsi="宋体"/>
                <w:sz w:val="18"/>
                <w:szCs w:val="18"/>
              </w:rPr>
              <w:t xml:space="preserve">1.4866 </w:t>
            </w:r>
          </w:p>
        </w:tc>
        <w:tc>
          <w:tcPr>
            <w:tcW w:w="745" w:type="dxa"/>
            <w:noWrap/>
          </w:tcPr>
          <w:p w14:paraId="63963B12">
            <w:pPr>
              <w:pStyle w:val="39"/>
              <w:rPr>
                <w:rFonts w:ascii="宋体" w:hAnsi="宋体"/>
                <w:sz w:val="18"/>
                <w:szCs w:val="18"/>
              </w:rPr>
            </w:pPr>
            <w:r>
              <w:rPr>
                <w:rFonts w:ascii="宋体" w:hAnsi="宋体"/>
                <w:sz w:val="18"/>
                <w:szCs w:val="18"/>
              </w:rPr>
              <w:t xml:space="preserve">1.3780 </w:t>
            </w:r>
          </w:p>
        </w:tc>
        <w:tc>
          <w:tcPr>
            <w:tcW w:w="745" w:type="dxa"/>
            <w:noWrap/>
          </w:tcPr>
          <w:p w14:paraId="15651B4D">
            <w:pPr>
              <w:pStyle w:val="39"/>
              <w:rPr>
                <w:rFonts w:ascii="宋体" w:hAnsi="宋体"/>
                <w:sz w:val="18"/>
                <w:szCs w:val="18"/>
              </w:rPr>
            </w:pPr>
            <w:r>
              <w:rPr>
                <w:rFonts w:ascii="宋体" w:hAnsi="宋体"/>
                <w:sz w:val="18"/>
                <w:szCs w:val="18"/>
              </w:rPr>
              <w:t xml:space="preserve">1.2832 </w:t>
            </w:r>
          </w:p>
        </w:tc>
        <w:tc>
          <w:tcPr>
            <w:tcW w:w="744" w:type="dxa"/>
            <w:noWrap/>
          </w:tcPr>
          <w:p w14:paraId="62D512D1">
            <w:pPr>
              <w:pStyle w:val="39"/>
              <w:rPr>
                <w:rFonts w:ascii="宋体" w:hAnsi="宋体"/>
                <w:sz w:val="18"/>
                <w:szCs w:val="18"/>
              </w:rPr>
            </w:pPr>
            <w:r>
              <w:rPr>
                <w:rFonts w:ascii="宋体" w:hAnsi="宋体"/>
                <w:sz w:val="18"/>
                <w:szCs w:val="18"/>
              </w:rPr>
              <w:t xml:space="preserve">1.1999 </w:t>
            </w:r>
          </w:p>
        </w:tc>
        <w:tc>
          <w:tcPr>
            <w:tcW w:w="744" w:type="dxa"/>
            <w:noWrap/>
          </w:tcPr>
          <w:p w14:paraId="233FBE75">
            <w:pPr>
              <w:pStyle w:val="39"/>
              <w:rPr>
                <w:rFonts w:ascii="宋体" w:hAnsi="宋体"/>
                <w:sz w:val="18"/>
                <w:szCs w:val="18"/>
              </w:rPr>
            </w:pPr>
            <w:r>
              <w:rPr>
                <w:rFonts w:ascii="宋体" w:hAnsi="宋体"/>
                <w:sz w:val="18"/>
                <w:szCs w:val="18"/>
              </w:rPr>
              <w:t xml:space="preserve">1.1262 </w:t>
            </w:r>
          </w:p>
        </w:tc>
        <w:tc>
          <w:tcPr>
            <w:tcW w:w="744" w:type="dxa"/>
            <w:noWrap/>
          </w:tcPr>
          <w:p w14:paraId="5F7A62DF">
            <w:pPr>
              <w:pStyle w:val="39"/>
              <w:rPr>
                <w:rFonts w:ascii="宋体" w:hAnsi="宋体"/>
                <w:sz w:val="18"/>
                <w:szCs w:val="18"/>
              </w:rPr>
            </w:pPr>
            <w:r>
              <w:rPr>
                <w:rFonts w:ascii="宋体" w:hAnsi="宋体"/>
                <w:sz w:val="18"/>
                <w:szCs w:val="18"/>
              </w:rPr>
              <w:t xml:space="preserve">1.0607 </w:t>
            </w:r>
          </w:p>
        </w:tc>
        <w:tc>
          <w:tcPr>
            <w:tcW w:w="744" w:type="dxa"/>
            <w:noWrap/>
          </w:tcPr>
          <w:p w14:paraId="752FF314">
            <w:pPr>
              <w:pStyle w:val="39"/>
              <w:rPr>
                <w:rFonts w:ascii="宋体" w:hAnsi="宋体"/>
                <w:sz w:val="18"/>
                <w:szCs w:val="18"/>
              </w:rPr>
            </w:pPr>
            <w:r>
              <w:rPr>
                <w:rFonts w:ascii="宋体" w:hAnsi="宋体"/>
                <w:sz w:val="18"/>
                <w:szCs w:val="18"/>
              </w:rPr>
              <w:t xml:space="preserve">1.0020 </w:t>
            </w:r>
          </w:p>
        </w:tc>
        <w:tc>
          <w:tcPr>
            <w:tcW w:w="744" w:type="dxa"/>
            <w:noWrap/>
          </w:tcPr>
          <w:p w14:paraId="4B8D3FF3">
            <w:pPr>
              <w:pStyle w:val="39"/>
              <w:rPr>
                <w:rFonts w:ascii="宋体" w:hAnsi="宋体"/>
                <w:sz w:val="18"/>
                <w:szCs w:val="18"/>
              </w:rPr>
            </w:pPr>
            <w:r>
              <w:rPr>
                <w:rFonts w:ascii="宋体" w:hAnsi="宋体"/>
                <w:sz w:val="18"/>
                <w:szCs w:val="18"/>
              </w:rPr>
              <w:t xml:space="preserve">0.9493 </w:t>
            </w:r>
          </w:p>
        </w:tc>
        <w:tc>
          <w:tcPr>
            <w:tcW w:w="744" w:type="dxa"/>
            <w:noWrap/>
          </w:tcPr>
          <w:p w14:paraId="04DB2685">
            <w:pPr>
              <w:pStyle w:val="39"/>
              <w:rPr>
                <w:rFonts w:ascii="宋体" w:hAnsi="宋体"/>
                <w:sz w:val="18"/>
                <w:szCs w:val="18"/>
              </w:rPr>
            </w:pPr>
            <w:r>
              <w:rPr>
                <w:rFonts w:ascii="宋体" w:hAnsi="宋体"/>
                <w:sz w:val="18"/>
                <w:szCs w:val="18"/>
              </w:rPr>
              <w:t xml:space="preserve">0.9017 </w:t>
            </w:r>
          </w:p>
        </w:tc>
        <w:tc>
          <w:tcPr>
            <w:tcW w:w="744" w:type="dxa"/>
            <w:noWrap/>
          </w:tcPr>
          <w:p w14:paraId="66617C9A">
            <w:pPr>
              <w:pStyle w:val="39"/>
              <w:rPr>
                <w:rFonts w:ascii="宋体" w:hAnsi="宋体"/>
                <w:sz w:val="18"/>
                <w:szCs w:val="18"/>
              </w:rPr>
            </w:pPr>
            <w:r>
              <w:rPr>
                <w:rFonts w:ascii="宋体" w:hAnsi="宋体"/>
                <w:sz w:val="18"/>
                <w:szCs w:val="18"/>
              </w:rPr>
              <w:t xml:space="preserve">0.8585 </w:t>
            </w:r>
          </w:p>
        </w:tc>
        <w:tc>
          <w:tcPr>
            <w:tcW w:w="744" w:type="dxa"/>
            <w:noWrap/>
          </w:tcPr>
          <w:p w14:paraId="44F61A4E">
            <w:pPr>
              <w:pStyle w:val="39"/>
              <w:rPr>
                <w:rFonts w:ascii="宋体" w:hAnsi="宋体"/>
                <w:sz w:val="18"/>
                <w:szCs w:val="18"/>
              </w:rPr>
            </w:pPr>
            <w:r>
              <w:rPr>
                <w:rFonts w:ascii="宋体" w:hAnsi="宋体"/>
                <w:sz w:val="18"/>
                <w:szCs w:val="18"/>
              </w:rPr>
              <w:t xml:space="preserve">0.8192 </w:t>
            </w:r>
          </w:p>
        </w:tc>
      </w:tr>
      <w:tr w14:paraId="12839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45" w:type="dxa"/>
            <w:noWrap/>
          </w:tcPr>
          <w:p w14:paraId="51B5953D">
            <w:pPr>
              <w:pStyle w:val="39"/>
              <w:rPr>
                <w:rFonts w:ascii="宋体" w:hAnsi="宋体"/>
                <w:sz w:val="18"/>
                <w:szCs w:val="18"/>
              </w:rPr>
            </w:pPr>
            <w:r>
              <w:rPr>
                <w:rFonts w:ascii="宋体" w:hAnsi="宋体"/>
                <w:sz w:val="18"/>
                <w:szCs w:val="18"/>
              </w:rPr>
              <w:t xml:space="preserve">0.65 </w:t>
            </w:r>
          </w:p>
        </w:tc>
        <w:tc>
          <w:tcPr>
            <w:tcW w:w="745" w:type="dxa"/>
            <w:noWrap/>
          </w:tcPr>
          <w:p w14:paraId="3E2B1C87">
            <w:pPr>
              <w:pStyle w:val="39"/>
              <w:rPr>
                <w:rFonts w:ascii="宋体" w:hAnsi="宋体"/>
                <w:sz w:val="18"/>
                <w:szCs w:val="18"/>
              </w:rPr>
            </w:pPr>
            <w:r>
              <w:rPr>
                <w:rFonts w:ascii="宋体" w:hAnsi="宋体"/>
                <w:sz w:val="18"/>
                <w:szCs w:val="18"/>
              </w:rPr>
              <w:t xml:space="preserve">1.5454 </w:t>
            </w:r>
          </w:p>
        </w:tc>
        <w:tc>
          <w:tcPr>
            <w:tcW w:w="745" w:type="dxa"/>
            <w:noWrap/>
          </w:tcPr>
          <w:p w14:paraId="16F238F1">
            <w:pPr>
              <w:pStyle w:val="39"/>
              <w:rPr>
                <w:rFonts w:ascii="宋体" w:hAnsi="宋体"/>
                <w:sz w:val="18"/>
                <w:szCs w:val="18"/>
              </w:rPr>
            </w:pPr>
            <w:r>
              <w:rPr>
                <w:rFonts w:ascii="宋体" w:hAnsi="宋体"/>
                <w:sz w:val="18"/>
                <w:szCs w:val="18"/>
              </w:rPr>
              <w:t xml:space="preserve">1.4329 </w:t>
            </w:r>
          </w:p>
        </w:tc>
        <w:tc>
          <w:tcPr>
            <w:tcW w:w="745" w:type="dxa"/>
            <w:noWrap/>
          </w:tcPr>
          <w:p w14:paraId="657F3D7B">
            <w:pPr>
              <w:pStyle w:val="39"/>
              <w:rPr>
                <w:rFonts w:ascii="宋体" w:hAnsi="宋体"/>
                <w:sz w:val="18"/>
                <w:szCs w:val="18"/>
              </w:rPr>
            </w:pPr>
            <w:r>
              <w:rPr>
                <w:rFonts w:ascii="宋体" w:hAnsi="宋体"/>
                <w:sz w:val="18"/>
                <w:szCs w:val="18"/>
              </w:rPr>
              <w:t xml:space="preserve">1.3348 </w:t>
            </w:r>
          </w:p>
        </w:tc>
        <w:tc>
          <w:tcPr>
            <w:tcW w:w="744" w:type="dxa"/>
            <w:noWrap/>
          </w:tcPr>
          <w:p w14:paraId="5D667FE8">
            <w:pPr>
              <w:pStyle w:val="39"/>
              <w:rPr>
                <w:rFonts w:ascii="宋体" w:hAnsi="宋体"/>
                <w:sz w:val="18"/>
                <w:szCs w:val="18"/>
              </w:rPr>
            </w:pPr>
            <w:r>
              <w:rPr>
                <w:rFonts w:ascii="宋体" w:hAnsi="宋体"/>
                <w:sz w:val="18"/>
                <w:szCs w:val="18"/>
              </w:rPr>
              <w:t xml:space="preserve">1.2487 </w:t>
            </w:r>
          </w:p>
        </w:tc>
        <w:tc>
          <w:tcPr>
            <w:tcW w:w="744" w:type="dxa"/>
            <w:noWrap/>
          </w:tcPr>
          <w:p w14:paraId="4045DA85">
            <w:pPr>
              <w:pStyle w:val="39"/>
              <w:rPr>
                <w:rFonts w:ascii="宋体" w:hAnsi="宋体"/>
                <w:sz w:val="18"/>
                <w:szCs w:val="18"/>
              </w:rPr>
            </w:pPr>
            <w:r>
              <w:rPr>
                <w:rFonts w:ascii="宋体" w:hAnsi="宋体"/>
                <w:sz w:val="18"/>
                <w:szCs w:val="18"/>
              </w:rPr>
              <w:t xml:space="preserve">1.1726 </w:t>
            </w:r>
          </w:p>
        </w:tc>
        <w:tc>
          <w:tcPr>
            <w:tcW w:w="744" w:type="dxa"/>
            <w:noWrap/>
          </w:tcPr>
          <w:p w14:paraId="52DD0817">
            <w:pPr>
              <w:pStyle w:val="39"/>
              <w:rPr>
                <w:rFonts w:ascii="宋体" w:hAnsi="宋体"/>
                <w:sz w:val="18"/>
                <w:szCs w:val="18"/>
              </w:rPr>
            </w:pPr>
            <w:r>
              <w:rPr>
                <w:rFonts w:ascii="宋体" w:hAnsi="宋体"/>
                <w:sz w:val="18"/>
                <w:szCs w:val="18"/>
              </w:rPr>
              <w:t xml:space="preserve">1.1049 </w:t>
            </w:r>
          </w:p>
        </w:tc>
        <w:tc>
          <w:tcPr>
            <w:tcW w:w="744" w:type="dxa"/>
            <w:noWrap/>
          </w:tcPr>
          <w:p w14:paraId="048C4A27">
            <w:pPr>
              <w:pStyle w:val="39"/>
              <w:rPr>
                <w:rFonts w:ascii="宋体" w:hAnsi="宋体"/>
                <w:sz w:val="18"/>
                <w:szCs w:val="18"/>
              </w:rPr>
            </w:pPr>
            <w:r>
              <w:rPr>
                <w:rFonts w:ascii="宋体" w:hAnsi="宋体"/>
                <w:sz w:val="18"/>
                <w:szCs w:val="18"/>
              </w:rPr>
              <w:t xml:space="preserve">1.0444 </w:t>
            </w:r>
          </w:p>
        </w:tc>
        <w:tc>
          <w:tcPr>
            <w:tcW w:w="744" w:type="dxa"/>
            <w:noWrap/>
          </w:tcPr>
          <w:p w14:paraId="15056DF2">
            <w:pPr>
              <w:pStyle w:val="39"/>
              <w:rPr>
                <w:rFonts w:ascii="宋体" w:hAnsi="宋体"/>
                <w:sz w:val="18"/>
                <w:szCs w:val="18"/>
              </w:rPr>
            </w:pPr>
            <w:r>
              <w:rPr>
                <w:rFonts w:ascii="宋体" w:hAnsi="宋体"/>
                <w:sz w:val="18"/>
                <w:szCs w:val="18"/>
              </w:rPr>
              <w:t xml:space="preserve">0.9900 </w:t>
            </w:r>
          </w:p>
        </w:tc>
        <w:tc>
          <w:tcPr>
            <w:tcW w:w="744" w:type="dxa"/>
            <w:noWrap/>
          </w:tcPr>
          <w:p w14:paraId="0C57A419">
            <w:pPr>
              <w:pStyle w:val="39"/>
              <w:rPr>
                <w:rFonts w:ascii="宋体" w:hAnsi="宋体"/>
                <w:sz w:val="18"/>
                <w:szCs w:val="18"/>
              </w:rPr>
            </w:pPr>
            <w:r>
              <w:rPr>
                <w:rFonts w:ascii="宋体" w:hAnsi="宋体"/>
                <w:sz w:val="18"/>
                <w:szCs w:val="18"/>
              </w:rPr>
              <w:t xml:space="preserve">0.9409 </w:t>
            </w:r>
          </w:p>
        </w:tc>
        <w:tc>
          <w:tcPr>
            <w:tcW w:w="744" w:type="dxa"/>
            <w:noWrap/>
          </w:tcPr>
          <w:p w14:paraId="193F1BFD">
            <w:pPr>
              <w:pStyle w:val="39"/>
              <w:rPr>
                <w:rFonts w:ascii="宋体" w:hAnsi="宋体"/>
                <w:sz w:val="18"/>
                <w:szCs w:val="18"/>
              </w:rPr>
            </w:pPr>
            <w:r>
              <w:rPr>
                <w:rFonts w:ascii="宋体" w:hAnsi="宋体"/>
                <w:sz w:val="18"/>
                <w:szCs w:val="18"/>
              </w:rPr>
              <w:t xml:space="preserve">0.8964 </w:t>
            </w:r>
          </w:p>
        </w:tc>
        <w:tc>
          <w:tcPr>
            <w:tcW w:w="744" w:type="dxa"/>
            <w:noWrap/>
          </w:tcPr>
          <w:p w14:paraId="252188A3">
            <w:pPr>
              <w:pStyle w:val="39"/>
              <w:rPr>
                <w:rFonts w:ascii="宋体" w:hAnsi="宋体"/>
                <w:sz w:val="18"/>
                <w:szCs w:val="18"/>
              </w:rPr>
            </w:pPr>
            <w:r>
              <w:rPr>
                <w:rFonts w:ascii="宋体" w:hAnsi="宋体"/>
                <w:sz w:val="18"/>
                <w:szCs w:val="18"/>
              </w:rPr>
              <w:t xml:space="preserve">0.8559 </w:t>
            </w:r>
          </w:p>
        </w:tc>
      </w:tr>
      <w:tr w14:paraId="68B33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45" w:type="dxa"/>
            <w:noWrap/>
          </w:tcPr>
          <w:p w14:paraId="5CA6AE62">
            <w:pPr>
              <w:pStyle w:val="39"/>
              <w:rPr>
                <w:rFonts w:ascii="宋体" w:hAnsi="宋体"/>
                <w:sz w:val="18"/>
                <w:szCs w:val="18"/>
              </w:rPr>
            </w:pPr>
            <w:r>
              <w:rPr>
                <w:rFonts w:ascii="宋体" w:hAnsi="宋体"/>
                <w:sz w:val="18"/>
                <w:szCs w:val="18"/>
              </w:rPr>
              <w:t xml:space="preserve">0.70 </w:t>
            </w:r>
          </w:p>
        </w:tc>
        <w:tc>
          <w:tcPr>
            <w:tcW w:w="745" w:type="dxa"/>
            <w:noWrap/>
          </w:tcPr>
          <w:p w14:paraId="017CCDFB">
            <w:pPr>
              <w:pStyle w:val="39"/>
              <w:rPr>
                <w:rFonts w:ascii="宋体" w:hAnsi="宋体"/>
                <w:sz w:val="18"/>
                <w:szCs w:val="18"/>
              </w:rPr>
            </w:pPr>
            <w:r>
              <w:rPr>
                <w:rFonts w:ascii="宋体" w:hAnsi="宋体"/>
                <w:sz w:val="18"/>
                <w:szCs w:val="18"/>
              </w:rPr>
              <w:t xml:space="preserve">1.5932 </w:t>
            </w:r>
          </w:p>
        </w:tc>
        <w:tc>
          <w:tcPr>
            <w:tcW w:w="745" w:type="dxa"/>
            <w:noWrap/>
          </w:tcPr>
          <w:p w14:paraId="2BF6CAA3">
            <w:pPr>
              <w:pStyle w:val="39"/>
              <w:rPr>
                <w:rFonts w:ascii="宋体" w:hAnsi="宋体"/>
                <w:sz w:val="18"/>
                <w:szCs w:val="18"/>
              </w:rPr>
            </w:pPr>
            <w:r>
              <w:rPr>
                <w:rFonts w:ascii="宋体" w:hAnsi="宋体"/>
                <w:sz w:val="18"/>
                <w:szCs w:val="18"/>
              </w:rPr>
              <w:t xml:space="preserve">1.4780 </w:t>
            </w:r>
          </w:p>
        </w:tc>
        <w:tc>
          <w:tcPr>
            <w:tcW w:w="745" w:type="dxa"/>
            <w:noWrap/>
          </w:tcPr>
          <w:p w14:paraId="35C88863">
            <w:pPr>
              <w:pStyle w:val="39"/>
              <w:rPr>
                <w:rFonts w:ascii="宋体" w:hAnsi="宋体"/>
                <w:sz w:val="18"/>
                <w:szCs w:val="18"/>
              </w:rPr>
            </w:pPr>
            <w:r>
              <w:rPr>
                <w:rFonts w:ascii="宋体" w:hAnsi="宋体"/>
                <w:sz w:val="18"/>
                <w:szCs w:val="18"/>
              </w:rPr>
              <w:t xml:space="preserve">1.3776 </w:t>
            </w:r>
          </w:p>
        </w:tc>
        <w:tc>
          <w:tcPr>
            <w:tcW w:w="744" w:type="dxa"/>
            <w:noWrap/>
          </w:tcPr>
          <w:p w14:paraId="692513A5">
            <w:pPr>
              <w:pStyle w:val="39"/>
              <w:rPr>
                <w:rFonts w:ascii="宋体" w:hAnsi="宋体"/>
                <w:sz w:val="18"/>
                <w:szCs w:val="18"/>
              </w:rPr>
            </w:pPr>
            <w:r>
              <w:rPr>
                <w:rFonts w:ascii="宋体" w:hAnsi="宋体"/>
                <w:sz w:val="18"/>
                <w:szCs w:val="18"/>
              </w:rPr>
              <w:t xml:space="preserve">1.2894 </w:t>
            </w:r>
          </w:p>
        </w:tc>
        <w:tc>
          <w:tcPr>
            <w:tcW w:w="744" w:type="dxa"/>
            <w:noWrap/>
          </w:tcPr>
          <w:p w14:paraId="4E6F82A6">
            <w:pPr>
              <w:pStyle w:val="39"/>
              <w:rPr>
                <w:rFonts w:ascii="宋体" w:hAnsi="宋体"/>
                <w:sz w:val="18"/>
                <w:szCs w:val="18"/>
              </w:rPr>
            </w:pPr>
            <w:r>
              <w:rPr>
                <w:rFonts w:ascii="宋体" w:hAnsi="宋体"/>
                <w:sz w:val="18"/>
                <w:szCs w:val="18"/>
              </w:rPr>
              <w:t xml:space="preserve">1.2116 </w:t>
            </w:r>
          </w:p>
        </w:tc>
        <w:tc>
          <w:tcPr>
            <w:tcW w:w="744" w:type="dxa"/>
            <w:noWrap/>
          </w:tcPr>
          <w:p w14:paraId="26F3EEC0">
            <w:pPr>
              <w:pStyle w:val="39"/>
              <w:rPr>
                <w:rFonts w:ascii="宋体" w:hAnsi="宋体"/>
                <w:sz w:val="18"/>
                <w:szCs w:val="18"/>
              </w:rPr>
            </w:pPr>
            <w:r>
              <w:rPr>
                <w:rFonts w:ascii="宋体" w:hAnsi="宋体"/>
                <w:sz w:val="18"/>
                <w:szCs w:val="18"/>
              </w:rPr>
              <w:t xml:space="preserve">1.1424 </w:t>
            </w:r>
          </w:p>
        </w:tc>
        <w:tc>
          <w:tcPr>
            <w:tcW w:w="744" w:type="dxa"/>
            <w:noWrap/>
          </w:tcPr>
          <w:p w14:paraId="771B0A6C">
            <w:pPr>
              <w:pStyle w:val="39"/>
              <w:rPr>
                <w:rFonts w:ascii="宋体" w:hAnsi="宋体"/>
                <w:sz w:val="18"/>
                <w:szCs w:val="18"/>
              </w:rPr>
            </w:pPr>
            <w:r>
              <w:rPr>
                <w:rFonts w:ascii="宋体" w:hAnsi="宋体"/>
                <w:sz w:val="18"/>
                <w:szCs w:val="18"/>
              </w:rPr>
              <w:t xml:space="preserve">1.0806 </w:t>
            </w:r>
          </w:p>
        </w:tc>
        <w:tc>
          <w:tcPr>
            <w:tcW w:w="744" w:type="dxa"/>
            <w:noWrap/>
          </w:tcPr>
          <w:p w14:paraId="636BC6CC">
            <w:pPr>
              <w:pStyle w:val="39"/>
              <w:rPr>
                <w:rFonts w:ascii="宋体" w:hAnsi="宋体"/>
                <w:sz w:val="18"/>
                <w:szCs w:val="18"/>
              </w:rPr>
            </w:pPr>
            <w:r>
              <w:rPr>
                <w:rFonts w:ascii="宋体" w:hAnsi="宋体"/>
                <w:sz w:val="18"/>
                <w:szCs w:val="18"/>
              </w:rPr>
              <w:t xml:space="preserve">1.0250 </w:t>
            </w:r>
          </w:p>
        </w:tc>
        <w:tc>
          <w:tcPr>
            <w:tcW w:w="744" w:type="dxa"/>
            <w:noWrap/>
          </w:tcPr>
          <w:p w14:paraId="38B659CD">
            <w:pPr>
              <w:pStyle w:val="39"/>
              <w:rPr>
                <w:rFonts w:ascii="宋体" w:hAnsi="宋体"/>
                <w:sz w:val="18"/>
                <w:szCs w:val="18"/>
              </w:rPr>
            </w:pPr>
            <w:r>
              <w:rPr>
                <w:rFonts w:ascii="宋体" w:hAnsi="宋体"/>
                <w:sz w:val="18"/>
                <w:szCs w:val="18"/>
              </w:rPr>
              <w:t xml:space="preserve">0.9749 </w:t>
            </w:r>
          </w:p>
        </w:tc>
        <w:tc>
          <w:tcPr>
            <w:tcW w:w="744" w:type="dxa"/>
            <w:noWrap/>
          </w:tcPr>
          <w:p w14:paraId="469FD135">
            <w:pPr>
              <w:pStyle w:val="39"/>
              <w:rPr>
                <w:rFonts w:ascii="宋体" w:hAnsi="宋体"/>
                <w:sz w:val="18"/>
                <w:szCs w:val="18"/>
              </w:rPr>
            </w:pPr>
            <w:r>
              <w:rPr>
                <w:rFonts w:ascii="宋体" w:hAnsi="宋体"/>
                <w:sz w:val="18"/>
                <w:szCs w:val="18"/>
              </w:rPr>
              <w:t xml:space="preserve">0.9294 </w:t>
            </w:r>
          </w:p>
        </w:tc>
        <w:tc>
          <w:tcPr>
            <w:tcW w:w="744" w:type="dxa"/>
            <w:noWrap/>
          </w:tcPr>
          <w:p w14:paraId="7C29BFE2">
            <w:pPr>
              <w:pStyle w:val="39"/>
              <w:rPr>
                <w:rFonts w:ascii="宋体" w:hAnsi="宋体"/>
                <w:sz w:val="18"/>
                <w:szCs w:val="18"/>
              </w:rPr>
            </w:pPr>
            <w:r>
              <w:rPr>
                <w:rFonts w:ascii="宋体" w:hAnsi="宋体"/>
                <w:sz w:val="18"/>
                <w:szCs w:val="18"/>
              </w:rPr>
              <w:t xml:space="preserve">0.8881 </w:t>
            </w:r>
          </w:p>
        </w:tc>
      </w:tr>
      <w:tr w14:paraId="5A460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45" w:type="dxa"/>
            <w:noWrap/>
          </w:tcPr>
          <w:p w14:paraId="3E02D47F">
            <w:pPr>
              <w:pStyle w:val="39"/>
              <w:rPr>
                <w:rFonts w:ascii="宋体" w:hAnsi="宋体"/>
                <w:sz w:val="18"/>
                <w:szCs w:val="18"/>
              </w:rPr>
            </w:pPr>
            <w:r>
              <w:rPr>
                <w:rFonts w:ascii="宋体" w:hAnsi="宋体"/>
                <w:sz w:val="18"/>
                <w:szCs w:val="18"/>
              </w:rPr>
              <w:t xml:space="preserve">0.75 </w:t>
            </w:r>
          </w:p>
        </w:tc>
        <w:tc>
          <w:tcPr>
            <w:tcW w:w="745" w:type="dxa"/>
            <w:noWrap/>
          </w:tcPr>
          <w:p w14:paraId="0D9EE8E7">
            <w:pPr>
              <w:pStyle w:val="39"/>
              <w:rPr>
                <w:rFonts w:ascii="宋体" w:hAnsi="宋体"/>
                <w:sz w:val="18"/>
                <w:szCs w:val="18"/>
              </w:rPr>
            </w:pPr>
            <w:r>
              <w:rPr>
                <w:rFonts w:ascii="宋体" w:hAnsi="宋体"/>
                <w:sz w:val="18"/>
                <w:szCs w:val="18"/>
              </w:rPr>
              <w:t xml:space="preserve">1.6311 </w:t>
            </w:r>
          </w:p>
        </w:tc>
        <w:tc>
          <w:tcPr>
            <w:tcW w:w="745" w:type="dxa"/>
            <w:noWrap/>
          </w:tcPr>
          <w:p w14:paraId="24599473">
            <w:pPr>
              <w:pStyle w:val="39"/>
              <w:rPr>
                <w:rFonts w:ascii="宋体" w:hAnsi="宋体"/>
                <w:sz w:val="18"/>
                <w:szCs w:val="18"/>
              </w:rPr>
            </w:pPr>
            <w:r>
              <w:rPr>
                <w:rFonts w:ascii="宋体" w:hAnsi="宋体"/>
                <w:sz w:val="18"/>
                <w:szCs w:val="18"/>
              </w:rPr>
              <w:t xml:space="preserve">1.5141 </w:t>
            </w:r>
          </w:p>
        </w:tc>
        <w:tc>
          <w:tcPr>
            <w:tcW w:w="745" w:type="dxa"/>
            <w:noWrap/>
          </w:tcPr>
          <w:p w14:paraId="1BA0D1E7">
            <w:pPr>
              <w:pStyle w:val="39"/>
              <w:rPr>
                <w:rFonts w:ascii="宋体" w:hAnsi="宋体"/>
                <w:sz w:val="18"/>
                <w:szCs w:val="18"/>
              </w:rPr>
            </w:pPr>
            <w:r>
              <w:rPr>
                <w:rFonts w:ascii="宋体" w:hAnsi="宋体"/>
                <w:sz w:val="18"/>
                <w:szCs w:val="18"/>
              </w:rPr>
              <w:t xml:space="preserve">1.4122 </w:t>
            </w:r>
          </w:p>
        </w:tc>
        <w:tc>
          <w:tcPr>
            <w:tcW w:w="744" w:type="dxa"/>
            <w:noWrap/>
          </w:tcPr>
          <w:p w14:paraId="03A14165">
            <w:pPr>
              <w:pStyle w:val="39"/>
              <w:rPr>
                <w:rFonts w:ascii="宋体" w:hAnsi="宋体"/>
                <w:sz w:val="18"/>
                <w:szCs w:val="18"/>
              </w:rPr>
            </w:pPr>
            <w:r>
              <w:rPr>
                <w:rFonts w:ascii="宋体" w:hAnsi="宋体"/>
                <w:sz w:val="18"/>
                <w:szCs w:val="18"/>
              </w:rPr>
              <w:t xml:space="preserve">1.3228 </w:t>
            </w:r>
          </w:p>
        </w:tc>
        <w:tc>
          <w:tcPr>
            <w:tcW w:w="744" w:type="dxa"/>
            <w:noWrap/>
          </w:tcPr>
          <w:p w14:paraId="5C567530">
            <w:pPr>
              <w:pStyle w:val="39"/>
              <w:rPr>
                <w:rFonts w:ascii="宋体" w:hAnsi="宋体"/>
                <w:sz w:val="18"/>
                <w:szCs w:val="18"/>
              </w:rPr>
            </w:pPr>
            <w:r>
              <w:rPr>
                <w:rFonts w:ascii="宋体" w:hAnsi="宋体"/>
                <w:sz w:val="18"/>
                <w:szCs w:val="18"/>
              </w:rPr>
              <w:t xml:space="preserve">1.2439 </w:t>
            </w:r>
          </w:p>
        </w:tc>
        <w:tc>
          <w:tcPr>
            <w:tcW w:w="744" w:type="dxa"/>
            <w:noWrap/>
          </w:tcPr>
          <w:p w14:paraId="7BDAA6CC">
            <w:pPr>
              <w:pStyle w:val="39"/>
              <w:rPr>
                <w:rFonts w:ascii="宋体" w:hAnsi="宋体"/>
                <w:sz w:val="18"/>
                <w:szCs w:val="18"/>
              </w:rPr>
            </w:pPr>
            <w:r>
              <w:rPr>
                <w:rFonts w:ascii="宋体" w:hAnsi="宋体"/>
                <w:sz w:val="18"/>
                <w:szCs w:val="18"/>
              </w:rPr>
              <w:t xml:space="preserve">1.1738 </w:t>
            </w:r>
          </w:p>
        </w:tc>
        <w:tc>
          <w:tcPr>
            <w:tcW w:w="744" w:type="dxa"/>
            <w:noWrap/>
          </w:tcPr>
          <w:p w14:paraId="0E3DE3B0">
            <w:pPr>
              <w:pStyle w:val="39"/>
              <w:rPr>
                <w:rFonts w:ascii="宋体" w:hAnsi="宋体"/>
                <w:sz w:val="18"/>
                <w:szCs w:val="18"/>
              </w:rPr>
            </w:pPr>
            <w:r>
              <w:rPr>
                <w:rFonts w:ascii="宋体" w:hAnsi="宋体"/>
                <w:sz w:val="18"/>
                <w:szCs w:val="18"/>
              </w:rPr>
              <w:t xml:space="preserve">1.1111 </w:t>
            </w:r>
          </w:p>
        </w:tc>
        <w:tc>
          <w:tcPr>
            <w:tcW w:w="744" w:type="dxa"/>
            <w:noWrap/>
          </w:tcPr>
          <w:p w14:paraId="775488E9">
            <w:pPr>
              <w:pStyle w:val="39"/>
              <w:rPr>
                <w:rFonts w:ascii="宋体" w:hAnsi="宋体"/>
                <w:sz w:val="18"/>
                <w:szCs w:val="18"/>
              </w:rPr>
            </w:pPr>
            <w:r>
              <w:rPr>
                <w:rFonts w:ascii="宋体" w:hAnsi="宋体"/>
                <w:sz w:val="18"/>
                <w:szCs w:val="18"/>
              </w:rPr>
              <w:t xml:space="preserve">1.0548 </w:t>
            </w:r>
          </w:p>
        </w:tc>
        <w:tc>
          <w:tcPr>
            <w:tcW w:w="744" w:type="dxa"/>
            <w:noWrap/>
          </w:tcPr>
          <w:p w14:paraId="011558C5">
            <w:pPr>
              <w:pStyle w:val="39"/>
              <w:rPr>
                <w:rFonts w:ascii="宋体" w:hAnsi="宋体"/>
                <w:sz w:val="18"/>
                <w:szCs w:val="18"/>
              </w:rPr>
            </w:pPr>
            <w:r>
              <w:rPr>
                <w:rFonts w:ascii="宋体" w:hAnsi="宋体"/>
                <w:sz w:val="18"/>
                <w:szCs w:val="18"/>
              </w:rPr>
              <w:t xml:space="preserve">1.0041 </w:t>
            </w:r>
          </w:p>
        </w:tc>
        <w:tc>
          <w:tcPr>
            <w:tcW w:w="744" w:type="dxa"/>
            <w:noWrap/>
          </w:tcPr>
          <w:p w14:paraId="2AFB3670">
            <w:pPr>
              <w:pStyle w:val="39"/>
              <w:rPr>
                <w:rFonts w:ascii="宋体" w:hAnsi="宋体"/>
                <w:sz w:val="18"/>
                <w:szCs w:val="18"/>
              </w:rPr>
            </w:pPr>
            <w:r>
              <w:rPr>
                <w:rFonts w:ascii="宋体" w:hAnsi="宋体"/>
                <w:sz w:val="18"/>
                <w:szCs w:val="18"/>
              </w:rPr>
              <w:t xml:space="preserve">0.9580 </w:t>
            </w:r>
          </w:p>
        </w:tc>
        <w:tc>
          <w:tcPr>
            <w:tcW w:w="744" w:type="dxa"/>
            <w:noWrap/>
          </w:tcPr>
          <w:p w14:paraId="02643B5D">
            <w:pPr>
              <w:pStyle w:val="39"/>
              <w:rPr>
                <w:rFonts w:ascii="宋体" w:hAnsi="宋体"/>
                <w:sz w:val="18"/>
                <w:szCs w:val="18"/>
              </w:rPr>
            </w:pPr>
            <w:r>
              <w:rPr>
                <w:rFonts w:ascii="宋体" w:hAnsi="宋体"/>
                <w:sz w:val="18"/>
                <w:szCs w:val="18"/>
              </w:rPr>
              <w:t xml:space="preserve">0.9161 </w:t>
            </w:r>
          </w:p>
        </w:tc>
      </w:tr>
      <w:tr w14:paraId="2D263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45" w:type="dxa"/>
            <w:noWrap/>
          </w:tcPr>
          <w:p w14:paraId="4AA69391">
            <w:pPr>
              <w:pStyle w:val="39"/>
              <w:rPr>
                <w:rFonts w:ascii="宋体" w:hAnsi="宋体"/>
                <w:sz w:val="18"/>
                <w:szCs w:val="18"/>
              </w:rPr>
            </w:pPr>
            <w:r>
              <w:rPr>
                <w:rFonts w:ascii="宋体" w:hAnsi="宋体"/>
                <w:sz w:val="18"/>
                <w:szCs w:val="18"/>
              </w:rPr>
              <w:t xml:space="preserve">0.80 </w:t>
            </w:r>
          </w:p>
        </w:tc>
        <w:tc>
          <w:tcPr>
            <w:tcW w:w="745" w:type="dxa"/>
            <w:noWrap/>
          </w:tcPr>
          <w:p w14:paraId="7377ED6D">
            <w:pPr>
              <w:pStyle w:val="39"/>
              <w:rPr>
                <w:rFonts w:ascii="宋体" w:hAnsi="宋体"/>
                <w:sz w:val="18"/>
                <w:szCs w:val="18"/>
              </w:rPr>
            </w:pPr>
            <w:r>
              <w:rPr>
                <w:rFonts w:ascii="宋体" w:hAnsi="宋体"/>
                <w:sz w:val="18"/>
                <w:szCs w:val="18"/>
              </w:rPr>
              <w:t xml:space="preserve">1.6601 </w:t>
            </w:r>
          </w:p>
        </w:tc>
        <w:tc>
          <w:tcPr>
            <w:tcW w:w="745" w:type="dxa"/>
            <w:noWrap/>
          </w:tcPr>
          <w:p w14:paraId="5ADC60F0">
            <w:pPr>
              <w:pStyle w:val="39"/>
              <w:rPr>
                <w:rFonts w:ascii="宋体" w:hAnsi="宋体"/>
                <w:sz w:val="18"/>
                <w:szCs w:val="18"/>
              </w:rPr>
            </w:pPr>
            <w:r>
              <w:rPr>
                <w:rFonts w:ascii="宋体" w:hAnsi="宋体"/>
                <w:sz w:val="18"/>
                <w:szCs w:val="18"/>
              </w:rPr>
              <w:t xml:space="preserve">1.5421 </w:t>
            </w:r>
          </w:p>
        </w:tc>
        <w:tc>
          <w:tcPr>
            <w:tcW w:w="745" w:type="dxa"/>
            <w:noWrap/>
          </w:tcPr>
          <w:p w14:paraId="537FB838">
            <w:pPr>
              <w:pStyle w:val="39"/>
              <w:rPr>
                <w:rFonts w:ascii="宋体" w:hAnsi="宋体"/>
                <w:sz w:val="18"/>
                <w:szCs w:val="18"/>
              </w:rPr>
            </w:pPr>
            <w:r>
              <w:rPr>
                <w:rFonts w:ascii="宋体" w:hAnsi="宋体"/>
                <w:sz w:val="18"/>
                <w:szCs w:val="18"/>
              </w:rPr>
              <w:t xml:space="preserve">1.4395 </w:t>
            </w:r>
          </w:p>
        </w:tc>
        <w:tc>
          <w:tcPr>
            <w:tcW w:w="744" w:type="dxa"/>
            <w:noWrap/>
          </w:tcPr>
          <w:p w14:paraId="65CB1ECC">
            <w:pPr>
              <w:pStyle w:val="39"/>
              <w:rPr>
                <w:rFonts w:ascii="宋体" w:hAnsi="宋体"/>
                <w:sz w:val="18"/>
                <w:szCs w:val="18"/>
              </w:rPr>
            </w:pPr>
            <w:r>
              <w:rPr>
                <w:rFonts w:ascii="宋体" w:hAnsi="宋体"/>
                <w:sz w:val="18"/>
                <w:szCs w:val="18"/>
              </w:rPr>
              <w:t xml:space="preserve">1.3495 </w:t>
            </w:r>
          </w:p>
        </w:tc>
        <w:tc>
          <w:tcPr>
            <w:tcW w:w="744" w:type="dxa"/>
            <w:noWrap/>
          </w:tcPr>
          <w:p w14:paraId="3C696BE0">
            <w:pPr>
              <w:pStyle w:val="39"/>
              <w:rPr>
                <w:rFonts w:ascii="宋体" w:hAnsi="宋体"/>
                <w:sz w:val="18"/>
                <w:szCs w:val="18"/>
              </w:rPr>
            </w:pPr>
            <w:r>
              <w:rPr>
                <w:rFonts w:ascii="宋体" w:hAnsi="宋体"/>
                <w:sz w:val="18"/>
                <w:szCs w:val="18"/>
              </w:rPr>
              <w:t xml:space="preserve">1.2701 </w:t>
            </w:r>
          </w:p>
        </w:tc>
        <w:tc>
          <w:tcPr>
            <w:tcW w:w="744" w:type="dxa"/>
            <w:noWrap/>
          </w:tcPr>
          <w:p w14:paraId="335C3C34">
            <w:pPr>
              <w:pStyle w:val="39"/>
              <w:rPr>
                <w:rFonts w:ascii="宋体" w:hAnsi="宋体"/>
                <w:sz w:val="18"/>
                <w:szCs w:val="18"/>
              </w:rPr>
            </w:pPr>
            <w:r>
              <w:rPr>
                <w:rFonts w:ascii="宋体" w:hAnsi="宋体"/>
                <w:sz w:val="18"/>
                <w:szCs w:val="18"/>
              </w:rPr>
              <w:t xml:space="preserve">1.1996 </w:t>
            </w:r>
          </w:p>
        </w:tc>
        <w:tc>
          <w:tcPr>
            <w:tcW w:w="744" w:type="dxa"/>
            <w:noWrap/>
          </w:tcPr>
          <w:p w14:paraId="747E69D5">
            <w:pPr>
              <w:pStyle w:val="39"/>
              <w:rPr>
                <w:rFonts w:ascii="宋体" w:hAnsi="宋体"/>
                <w:sz w:val="18"/>
                <w:szCs w:val="18"/>
              </w:rPr>
            </w:pPr>
            <w:r>
              <w:rPr>
                <w:rFonts w:ascii="宋体" w:hAnsi="宋体"/>
                <w:sz w:val="18"/>
                <w:szCs w:val="18"/>
              </w:rPr>
              <w:t xml:space="preserve">1.1366 </w:t>
            </w:r>
          </w:p>
        </w:tc>
        <w:tc>
          <w:tcPr>
            <w:tcW w:w="744" w:type="dxa"/>
            <w:noWrap/>
          </w:tcPr>
          <w:p w14:paraId="30AF1381">
            <w:pPr>
              <w:pStyle w:val="39"/>
              <w:rPr>
                <w:rFonts w:ascii="宋体" w:hAnsi="宋体"/>
                <w:sz w:val="18"/>
                <w:szCs w:val="18"/>
              </w:rPr>
            </w:pPr>
            <w:r>
              <w:rPr>
                <w:rFonts w:ascii="宋体" w:hAnsi="宋体"/>
                <w:sz w:val="18"/>
                <w:szCs w:val="18"/>
              </w:rPr>
              <w:t xml:space="preserve">1.0800 </w:t>
            </w:r>
          </w:p>
        </w:tc>
        <w:tc>
          <w:tcPr>
            <w:tcW w:w="744" w:type="dxa"/>
            <w:noWrap/>
          </w:tcPr>
          <w:p w14:paraId="478C10E8">
            <w:pPr>
              <w:pStyle w:val="39"/>
              <w:rPr>
                <w:rFonts w:ascii="宋体" w:hAnsi="宋体"/>
                <w:sz w:val="18"/>
                <w:szCs w:val="18"/>
              </w:rPr>
            </w:pPr>
            <w:r>
              <w:rPr>
                <w:rFonts w:ascii="宋体" w:hAnsi="宋体"/>
                <w:sz w:val="18"/>
                <w:szCs w:val="18"/>
              </w:rPr>
              <w:t xml:space="preserve">1.0289 </w:t>
            </w:r>
          </w:p>
        </w:tc>
        <w:tc>
          <w:tcPr>
            <w:tcW w:w="744" w:type="dxa"/>
            <w:noWrap/>
          </w:tcPr>
          <w:p w14:paraId="63717456">
            <w:pPr>
              <w:pStyle w:val="39"/>
              <w:rPr>
                <w:rFonts w:ascii="宋体" w:hAnsi="宋体"/>
                <w:sz w:val="18"/>
                <w:szCs w:val="18"/>
              </w:rPr>
            </w:pPr>
            <w:r>
              <w:rPr>
                <w:rFonts w:ascii="宋体" w:hAnsi="宋体"/>
                <w:sz w:val="18"/>
                <w:szCs w:val="18"/>
              </w:rPr>
              <w:t xml:space="preserve">0.9826 </w:t>
            </w:r>
          </w:p>
        </w:tc>
        <w:tc>
          <w:tcPr>
            <w:tcW w:w="744" w:type="dxa"/>
            <w:noWrap/>
          </w:tcPr>
          <w:p w14:paraId="12890234">
            <w:pPr>
              <w:pStyle w:val="39"/>
              <w:rPr>
                <w:rFonts w:ascii="宋体" w:hAnsi="宋体"/>
                <w:sz w:val="18"/>
                <w:szCs w:val="18"/>
              </w:rPr>
            </w:pPr>
            <w:r>
              <w:rPr>
                <w:rFonts w:ascii="宋体" w:hAnsi="宋体"/>
                <w:sz w:val="18"/>
                <w:szCs w:val="18"/>
              </w:rPr>
              <w:t xml:space="preserve">0.9405 </w:t>
            </w:r>
          </w:p>
        </w:tc>
      </w:tr>
      <w:tr w14:paraId="33CCC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45" w:type="dxa"/>
            <w:noWrap/>
          </w:tcPr>
          <w:p w14:paraId="2EB79B09">
            <w:pPr>
              <w:pStyle w:val="39"/>
              <w:rPr>
                <w:rFonts w:ascii="宋体" w:hAnsi="宋体"/>
                <w:sz w:val="18"/>
                <w:szCs w:val="18"/>
              </w:rPr>
            </w:pPr>
            <w:r>
              <w:rPr>
                <w:rFonts w:ascii="宋体" w:hAnsi="宋体"/>
                <w:sz w:val="18"/>
                <w:szCs w:val="18"/>
              </w:rPr>
              <w:t xml:space="preserve">0.85 </w:t>
            </w:r>
          </w:p>
        </w:tc>
        <w:tc>
          <w:tcPr>
            <w:tcW w:w="745" w:type="dxa"/>
            <w:noWrap/>
          </w:tcPr>
          <w:p w14:paraId="54C382A2">
            <w:pPr>
              <w:pStyle w:val="39"/>
              <w:rPr>
                <w:rFonts w:ascii="宋体" w:hAnsi="宋体"/>
                <w:sz w:val="18"/>
                <w:szCs w:val="18"/>
              </w:rPr>
            </w:pPr>
            <w:r>
              <w:rPr>
                <w:rFonts w:ascii="宋体" w:hAnsi="宋体"/>
                <w:sz w:val="18"/>
                <w:szCs w:val="18"/>
              </w:rPr>
              <w:t xml:space="preserve">1.6810 </w:t>
            </w:r>
          </w:p>
        </w:tc>
        <w:tc>
          <w:tcPr>
            <w:tcW w:w="745" w:type="dxa"/>
            <w:noWrap/>
          </w:tcPr>
          <w:p w14:paraId="6B775CF0">
            <w:pPr>
              <w:pStyle w:val="39"/>
              <w:rPr>
                <w:rFonts w:ascii="宋体" w:hAnsi="宋体"/>
                <w:sz w:val="18"/>
                <w:szCs w:val="18"/>
              </w:rPr>
            </w:pPr>
            <w:r>
              <w:rPr>
                <w:rFonts w:ascii="宋体" w:hAnsi="宋体"/>
                <w:sz w:val="18"/>
                <w:szCs w:val="18"/>
              </w:rPr>
              <w:t xml:space="preserve">1.5630 </w:t>
            </w:r>
          </w:p>
        </w:tc>
        <w:tc>
          <w:tcPr>
            <w:tcW w:w="745" w:type="dxa"/>
            <w:noWrap/>
          </w:tcPr>
          <w:p w14:paraId="5D354617">
            <w:pPr>
              <w:pStyle w:val="39"/>
              <w:rPr>
                <w:rFonts w:ascii="宋体" w:hAnsi="宋体"/>
                <w:sz w:val="18"/>
                <w:szCs w:val="18"/>
              </w:rPr>
            </w:pPr>
            <w:r>
              <w:rPr>
                <w:rFonts w:ascii="宋体" w:hAnsi="宋体"/>
                <w:sz w:val="18"/>
                <w:szCs w:val="18"/>
              </w:rPr>
              <w:t xml:space="preserve">1.4603 </w:t>
            </w:r>
          </w:p>
        </w:tc>
        <w:tc>
          <w:tcPr>
            <w:tcW w:w="744" w:type="dxa"/>
            <w:noWrap/>
          </w:tcPr>
          <w:p w14:paraId="5FCED791">
            <w:pPr>
              <w:pStyle w:val="39"/>
              <w:rPr>
                <w:rFonts w:ascii="宋体" w:hAnsi="宋体"/>
                <w:sz w:val="18"/>
                <w:szCs w:val="18"/>
              </w:rPr>
            </w:pPr>
            <w:r>
              <w:rPr>
                <w:rFonts w:ascii="宋体" w:hAnsi="宋体"/>
                <w:sz w:val="18"/>
                <w:szCs w:val="18"/>
              </w:rPr>
              <w:t xml:space="preserve">1.3703 </w:t>
            </w:r>
          </w:p>
        </w:tc>
        <w:tc>
          <w:tcPr>
            <w:tcW w:w="744" w:type="dxa"/>
            <w:noWrap/>
          </w:tcPr>
          <w:p w14:paraId="1D30AF25">
            <w:pPr>
              <w:pStyle w:val="39"/>
              <w:rPr>
                <w:rFonts w:ascii="宋体" w:hAnsi="宋体"/>
                <w:sz w:val="18"/>
                <w:szCs w:val="18"/>
              </w:rPr>
            </w:pPr>
            <w:r>
              <w:rPr>
                <w:rFonts w:ascii="宋体" w:hAnsi="宋体"/>
                <w:sz w:val="18"/>
                <w:szCs w:val="18"/>
              </w:rPr>
              <w:t xml:space="preserve">1.2910 </w:t>
            </w:r>
          </w:p>
        </w:tc>
        <w:tc>
          <w:tcPr>
            <w:tcW w:w="744" w:type="dxa"/>
            <w:noWrap/>
          </w:tcPr>
          <w:p w14:paraId="6FBBCD45">
            <w:pPr>
              <w:pStyle w:val="39"/>
              <w:rPr>
                <w:rFonts w:ascii="宋体" w:hAnsi="宋体"/>
                <w:sz w:val="18"/>
                <w:szCs w:val="18"/>
              </w:rPr>
            </w:pPr>
            <w:r>
              <w:rPr>
                <w:rFonts w:ascii="宋体" w:hAnsi="宋体"/>
                <w:sz w:val="18"/>
                <w:szCs w:val="18"/>
              </w:rPr>
              <w:t xml:space="preserve">1.2205 </w:t>
            </w:r>
          </w:p>
        </w:tc>
        <w:tc>
          <w:tcPr>
            <w:tcW w:w="744" w:type="dxa"/>
            <w:noWrap/>
          </w:tcPr>
          <w:p w14:paraId="12BEBE10">
            <w:pPr>
              <w:pStyle w:val="39"/>
              <w:rPr>
                <w:rFonts w:ascii="宋体" w:hAnsi="宋体"/>
                <w:sz w:val="18"/>
                <w:szCs w:val="18"/>
              </w:rPr>
            </w:pPr>
            <w:r>
              <w:rPr>
                <w:rFonts w:ascii="宋体" w:hAnsi="宋体"/>
                <w:sz w:val="18"/>
                <w:szCs w:val="18"/>
              </w:rPr>
              <w:t xml:space="preserve">1.1576 </w:t>
            </w:r>
          </w:p>
        </w:tc>
        <w:tc>
          <w:tcPr>
            <w:tcW w:w="744" w:type="dxa"/>
            <w:noWrap/>
          </w:tcPr>
          <w:p w14:paraId="3A8E382A">
            <w:pPr>
              <w:pStyle w:val="39"/>
              <w:rPr>
                <w:rFonts w:ascii="宋体" w:hAnsi="宋体"/>
                <w:sz w:val="18"/>
                <w:szCs w:val="18"/>
              </w:rPr>
            </w:pPr>
            <w:r>
              <w:rPr>
                <w:rFonts w:ascii="宋体" w:hAnsi="宋体"/>
                <w:sz w:val="18"/>
                <w:szCs w:val="18"/>
              </w:rPr>
              <w:t xml:space="preserve">1.1010 </w:t>
            </w:r>
          </w:p>
        </w:tc>
        <w:tc>
          <w:tcPr>
            <w:tcW w:w="744" w:type="dxa"/>
            <w:noWrap/>
          </w:tcPr>
          <w:p w14:paraId="7D0D809D">
            <w:pPr>
              <w:pStyle w:val="39"/>
              <w:rPr>
                <w:rFonts w:ascii="宋体" w:hAnsi="宋体"/>
                <w:sz w:val="18"/>
                <w:szCs w:val="18"/>
              </w:rPr>
            </w:pPr>
            <w:r>
              <w:rPr>
                <w:rFonts w:ascii="宋体" w:hAnsi="宋体"/>
                <w:sz w:val="18"/>
                <w:szCs w:val="18"/>
              </w:rPr>
              <w:t xml:space="preserve">1.0500 </w:t>
            </w:r>
          </w:p>
        </w:tc>
        <w:tc>
          <w:tcPr>
            <w:tcW w:w="744" w:type="dxa"/>
            <w:noWrap/>
          </w:tcPr>
          <w:p w14:paraId="0A0C13AE">
            <w:pPr>
              <w:pStyle w:val="39"/>
              <w:rPr>
                <w:rFonts w:ascii="宋体" w:hAnsi="宋体"/>
                <w:sz w:val="18"/>
                <w:szCs w:val="18"/>
              </w:rPr>
            </w:pPr>
            <w:r>
              <w:rPr>
                <w:rFonts w:ascii="宋体" w:hAnsi="宋体"/>
                <w:sz w:val="18"/>
                <w:szCs w:val="18"/>
              </w:rPr>
              <w:t xml:space="preserve">1.0037 </w:t>
            </w:r>
          </w:p>
        </w:tc>
        <w:tc>
          <w:tcPr>
            <w:tcW w:w="744" w:type="dxa"/>
            <w:noWrap/>
          </w:tcPr>
          <w:p w14:paraId="0C5BAB71">
            <w:pPr>
              <w:pStyle w:val="39"/>
              <w:rPr>
                <w:rFonts w:ascii="宋体" w:hAnsi="宋体"/>
                <w:sz w:val="18"/>
                <w:szCs w:val="18"/>
              </w:rPr>
            </w:pPr>
            <w:r>
              <w:rPr>
                <w:rFonts w:ascii="宋体" w:hAnsi="宋体"/>
                <w:sz w:val="18"/>
                <w:szCs w:val="18"/>
              </w:rPr>
              <w:t xml:space="preserve">0.9616 </w:t>
            </w:r>
          </w:p>
        </w:tc>
      </w:tr>
      <w:tr w14:paraId="07EBC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45" w:type="dxa"/>
            <w:noWrap/>
          </w:tcPr>
          <w:p w14:paraId="531A7357">
            <w:pPr>
              <w:pStyle w:val="39"/>
              <w:rPr>
                <w:rFonts w:ascii="宋体" w:hAnsi="宋体"/>
                <w:sz w:val="18"/>
                <w:szCs w:val="18"/>
              </w:rPr>
            </w:pPr>
            <w:r>
              <w:rPr>
                <w:rFonts w:ascii="宋体" w:hAnsi="宋体"/>
                <w:sz w:val="18"/>
                <w:szCs w:val="18"/>
              </w:rPr>
              <w:t xml:space="preserve">0.90 </w:t>
            </w:r>
          </w:p>
        </w:tc>
        <w:tc>
          <w:tcPr>
            <w:tcW w:w="745" w:type="dxa"/>
            <w:noWrap/>
          </w:tcPr>
          <w:p w14:paraId="38C7B9F5">
            <w:pPr>
              <w:pStyle w:val="39"/>
              <w:rPr>
                <w:rFonts w:ascii="宋体" w:hAnsi="宋体"/>
                <w:sz w:val="18"/>
                <w:szCs w:val="18"/>
              </w:rPr>
            </w:pPr>
            <w:r>
              <w:rPr>
                <w:rFonts w:ascii="宋体" w:hAnsi="宋体"/>
                <w:sz w:val="18"/>
                <w:szCs w:val="18"/>
              </w:rPr>
              <w:t xml:space="preserve">1.6949 </w:t>
            </w:r>
          </w:p>
        </w:tc>
        <w:tc>
          <w:tcPr>
            <w:tcW w:w="745" w:type="dxa"/>
            <w:noWrap/>
          </w:tcPr>
          <w:p w14:paraId="6135AE50">
            <w:pPr>
              <w:pStyle w:val="39"/>
              <w:rPr>
                <w:rFonts w:ascii="宋体" w:hAnsi="宋体"/>
                <w:sz w:val="18"/>
                <w:szCs w:val="18"/>
              </w:rPr>
            </w:pPr>
            <w:r>
              <w:rPr>
                <w:rFonts w:ascii="宋体" w:hAnsi="宋体"/>
                <w:sz w:val="18"/>
                <w:szCs w:val="18"/>
              </w:rPr>
              <w:t xml:space="preserve">1.5775 </w:t>
            </w:r>
          </w:p>
        </w:tc>
        <w:tc>
          <w:tcPr>
            <w:tcW w:w="745" w:type="dxa"/>
            <w:noWrap/>
          </w:tcPr>
          <w:p w14:paraId="636D29BF">
            <w:pPr>
              <w:pStyle w:val="39"/>
              <w:rPr>
                <w:rFonts w:ascii="宋体" w:hAnsi="宋体"/>
                <w:sz w:val="18"/>
                <w:szCs w:val="18"/>
              </w:rPr>
            </w:pPr>
            <w:r>
              <w:rPr>
                <w:rFonts w:ascii="宋体" w:hAnsi="宋体"/>
                <w:sz w:val="18"/>
                <w:szCs w:val="18"/>
              </w:rPr>
              <w:t xml:space="preserve">1.4754 </w:t>
            </w:r>
          </w:p>
        </w:tc>
        <w:tc>
          <w:tcPr>
            <w:tcW w:w="744" w:type="dxa"/>
            <w:noWrap/>
          </w:tcPr>
          <w:p w14:paraId="6DE779CC">
            <w:pPr>
              <w:pStyle w:val="39"/>
              <w:rPr>
                <w:rFonts w:ascii="宋体" w:hAnsi="宋体"/>
                <w:sz w:val="18"/>
                <w:szCs w:val="18"/>
              </w:rPr>
            </w:pPr>
            <w:r>
              <w:rPr>
                <w:rFonts w:ascii="宋体" w:hAnsi="宋体"/>
                <w:sz w:val="18"/>
                <w:szCs w:val="18"/>
              </w:rPr>
              <w:t xml:space="preserve">1.3860 </w:t>
            </w:r>
          </w:p>
        </w:tc>
        <w:tc>
          <w:tcPr>
            <w:tcW w:w="744" w:type="dxa"/>
            <w:noWrap/>
          </w:tcPr>
          <w:p w14:paraId="64387926">
            <w:pPr>
              <w:pStyle w:val="39"/>
              <w:rPr>
                <w:rFonts w:ascii="宋体" w:hAnsi="宋体"/>
                <w:sz w:val="18"/>
                <w:szCs w:val="18"/>
              </w:rPr>
            </w:pPr>
            <w:r>
              <w:rPr>
                <w:rFonts w:ascii="宋体" w:hAnsi="宋体"/>
                <w:sz w:val="18"/>
                <w:szCs w:val="18"/>
              </w:rPr>
              <w:t xml:space="preserve">1.3071 </w:t>
            </w:r>
          </w:p>
        </w:tc>
        <w:tc>
          <w:tcPr>
            <w:tcW w:w="744" w:type="dxa"/>
            <w:noWrap/>
          </w:tcPr>
          <w:p w14:paraId="658C9253">
            <w:pPr>
              <w:pStyle w:val="39"/>
              <w:rPr>
                <w:rFonts w:ascii="宋体" w:hAnsi="宋体"/>
                <w:sz w:val="18"/>
                <w:szCs w:val="18"/>
              </w:rPr>
            </w:pPr>
            <w:r>
              <w:rPr>
                <w:rFonts w:ascii="宋体" w:hAnsi="宋体"/>
                <w:sz w:val="18"/>
                <w:szCs w:val="18"/>
              </w:rPr>
              <w:t xml:space="preserve">1.2371 </w:t>
            </w:r>
          </w:p>
        </w:tc>
        <w:tc>
          <w:tcPr>
            <w:tcW w:w="744" w:type="dxa"/>
            <w:noWrap/>
          </w:tcPr>
          <w:p w14:paraId="5CD66D17">
            <w:pPr>
              <w:pStyle w:val="39"/>
              <w:rPr>
                <w:rFonts w:ascii="宋体" w:hAnsi="宋体"/>
                <w:sz w:val="18"/>
                <w:szCs w:val="18"/>
              </w:rPr>
            </w:pPr>
            <w:r>
              <w:rPr>
                <w:rFonts w:ascii="宋体" w:hAnsi="宋体"/>
                <w:sz w:val="18"/>
                <w:szCs w:val="18"/>
              </w:rPr>
              <w:t xml:space="preserve">1.1745 </w:t>
            </w:r>
          </w:p>
        </w:tc>
        <w:tc>
          <w:tcPr>
            <w:tcW w:w="744" w:type="dxa"/>
            <w:noWrap/>
          </w:tcPr>
          <w:p w14:paraId="2923FD9F">
            <w:pPr>
              <w:pStyle w:val="39"/>
              <w:rPr>
                <w:rFonts w:ascii="宋体" w:hAnsi="宋体"/>
                <w:sz w:val="18"/>
                <w:szCs w:val="18"/>
              </w:rPr>
            </w:pPr>
            <w:r>
              <w:rPr>
                <w:rFonts w:ascii="宋体" w:hAnsi="宋体"/>
                <w:sz w:val="18"/>
                <w:szCs w:val="18"/>
              </w:rPr>
              <w:t xml:space="preserve">1.1184 </w:t>
            </w:r>
          </w:p>
        </w:tc>
        <w:tc>
          <w:tcPr>
            <w:tcW w:w="744" w:type="dxa"/>
            <w:noWrap/>
          </w:tcPr>
          <w:p w14:paraId="64C596AC">
            <w:pPr>
              <w:pStyle w:val="39"/>
              <w:rPr>
                <w:rFonts w:ascii="宋体" w:hAnsi="宋体"/>
                <w:sz w:val="18"/>
                <w:szCs w:val="18"/>
              </w:rPr>
            </w:pPr>
            <w:r>
              <w:rPr>
                <w:rFonts w:ascii="宋体" w:hAnsi="宋体"/>
                <w:sz w:val="18"/>
                <w:szCs w:val="18"/>
              </w:rPr>
              <w:t xml:space="preserve">1.0677 </w:t>
            </w:r>
          </w:p>
        </w:tc>
        <w:tc>
          <w:tcPr>
            <w:tcW w:w="744" w:type="dxa"/>
            <w:noWrap/>
          </w:tcPr>
          <w:p w14:paraId="0B32437E">
            <w:pPr>
              <w:pStyle w:val="39"/>
              <w:rPr>
                <w:rFonts w:ascii="宋体" w:hAnsi="宋体"/>
                <w:sz w:val="18"/>
                <w:szCs w:val="18"/>
              </w:rPr>
            </w:pPr>
            <w:r>
              <w:rPr>
                <w:rFonts w:ascii="宋体" w:hAnsi="宋体"/>
                <w:sz w:val="18"/>
                <w:szCs w:val="18"/>
              </w:rPr>
              <w:t xml:space="preserve">1.0217 </w:t>
            </w:r>
          </w:p>
        </w:tc>
        <w:tc>
          <w:tcPr>
            <w:tcW w:w="744" w:type="dxa"/>
            <w:noWrap/>
          </w:tcPr>
          <w:p w14:paraId="2253E7AE">
            <w:pPr>
              <w:pStyle w:val="39"/>
              <w:rPr>
                <w:rFonts w:ascii="宋体" w:hAnsi="宋体"/>
                <w:sz w:val="18"/>
                <w:szCs w:val="18"/>
              </w:rPr>
            </w:pPr>
            <w:r>
              <w:rPr>
                <w:rFonts w:ascii="宋体" w:hAnsi="宋体"/>
                <w:sz w:val="18"/>
                <w:szCs w:val="18"/>
              </w:rPr>
              <w:t xml:space="preserve">0.9798 </w:t>
            </w:r>
          </w:p>
        </w:tc>
      </w:tr>
      <w:tr w14:paraId="13267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45" w:type="dxa"/>
            <w:noWrap/>
          </w:tcPr>
          <w:p w14:paraId="7C1D0FCA">
            <w:pPr>
              <w:pStyle w:val="39"/>
              <w:rPr>
                <w:rFonts w:ascii="宋体" w:hAnsi="宋体"/>
                <w:sz w:val="18"/>
                <w:szCs w:val="18"/>
              </w:rPr>
            </w:pPr>
            <w:r>
              <w:rPr>
                <w:rFonts w:ascii="宋体" w:hAnsi="宋体"/>
                <w:sz w:val="18"/>
                <w:szCs w:val="18"/>
              </w:rPr>
              <w:t xml:space="preserve">0.95 </w:t>
            </w:r>
          </w:p>
        </w:tc>
        <w:tc>
          <w:tcPr>
            <w:tcW w:w="745" w:type="dxa"/>
            <w:noWrap/>
          </w:tcPr>
          <w:p w14:paraId="01F3BC7C">
            <w:pPr>
              <w:pStyle w:val="39"/>
              <w:rPr>
                <w:rFonts w:ascii="宋体" w:hAnsi="宋体"/>
                <w:sz w:val="18"/>
                <w:szCs w:val="18"/>
              </w:rPr>
            </w:pPr>
            <w:r>
              <w:rPr>
                <w:rFonts w:ascii="宋体" w:hAnsi="宋体"/>
                <w:sz w:val="18"/>
                <w:szCs w:val="18"/>
              </w:rPr>
              <w:t xml:space="preserve">1.7027 </w:t>
            </w:r>
          </w:p>
        </w:tc>
        <w:tc>
          <w:tcPr>
            <w:tcW w:w="745" w:type="dxa"/>
            <w:noWrap/>
          </w:tcPr>
          <w:p w14:paraId="7E929D83">
            <w:pPr>
              <w:pStyle w:val="39"/>
              <w:rPr>
                <w:rFonts w:ascii="宋体" w:hAnsi="宋体"/>
                <w:sz w:val="18"/>
                <w:szCs w:val="18"/>
              </w:rPr>
            </w:pPr>
            <w:r>
              <w:rPr>
                <w:rFonts w:ascii="宋体" w:hAnsi="宋体"/>
                <w:sz w:val="18"/>
                <w:szCs w:val="18"/>
              </w:rPr>
              <w:t xml:space="preserve">1.5864 </w:t>
            </w:r>
          </w:p>
        </w:tc>
        <w:tc>
          <w:tcPr>
            <w:tcW w:w="745" w:type="dxa"/>
            <w:noWrap/>
          </w:tcPr>
          <w:p w14:paraId="59B19AD5">
            <w:pPr>
              <w:pStyle w:val="39"/>
              <w:rPr>
                <w:rFonts w:ascii="宋体" w:hAnsi="宋体"/>
                <w:sz w:val="18"/>
                <w:szCs w:val="18"/>
              </w:rPr>
            </w:pPr>
            <w:r>
              <w:rPr>
                <w:rFonts w:ascii="宋体" w:hAnsi="宋体"/>
                <w:sz w:val="18"/>
                <w:szCs w:val="18"/>
              </w:rPr>
              <w:t xml:space="preserve">1.4854 </w:t>
            </w:r>
          </w:p>
        </w:tc>
        <w:tc>
          <w:tcPr>
            <w:tcW w:w="744" w:type="dxa"/>
            <w:noWrap/>
          </w:tcPr>
          <w:p w14:paraId="0D8DD20C">
            <w:pPr>
              <w:pStyle w:val="39"/>
              <w:rPr>
                <w:rFonts w:ascii="宋体" w:hAnsi="宋体"/>
                <w:sz w:val="18"/>
                <w:szCs w:val="18"/>
              </w:rPr>
            </w:pPr>
            <w:r>
              <w:rPr>
                <w:rFonts w:ascii="宋体" w:hAnsi="宋体"/>
                <w:sz w:val="18"/>
                <w:szCs w:val="18"/>
              </w:rPr>
              <w:t xml:space="preserve">1.3970 </w:t>
            </w:r>
          </w:p>
        </w:tc>
        <w:tc>
          <w:tcPr>
            <w:tcW w:w="744" w:type="dxa"/>
            <w:noWrap/>
          </w:tcPr>
          <w:p w14:paraId="14BFC2B8">
            <w:pPr>
              <w:pStyle w:val="39"/>
              <w:rPr>
                <w:rFonts w:ascii="宋体" w:hAnsi="宋体"/>
                <w:sz w:val="18"/>
                <w:szCs w:val="18"/>
              </w:rPr>
            </w:pPr>
            <w:r>
              <w:rPr>
                <w:rFonts w:ascii="宋体" w:hAnsi="宋体"/>
                <w:sz w:val="18"/>
                <w:szCs w:val="18"/>
              </w:rPr>
              <w:t xml:space="preserve">1.3190 </w:t>
            </w:r>
          </w:p>
        </w:tc>
        <w:tc>
          <w:tcPr>
            <w:tcW w:w="744" w:type="dxa"/>
            <w:noWrap/>
          </w:tcPr>
          <w:p w14:paraId="1B9DD4B4">
            <w:pPr>
              <w:pStyle w:val="39"/>
              <w:rPr>
                <w:rFonts w:ascii="宋体" w:hAnsi="宋体"/>
                <w:sz w:val="18"/>
                <w:szCs w:val="18"/>
              </w:rPr>
            </w:pPr>
            <w:r>
              <w:rPr>
                <w:rFonts w:ascii="宋体" w:hAnsi="宋体"/>
                <w:sz w:val="18"/>
                <w:szCs w:val="18"/>
              </w:rPr>
              <w:t xml:space="preserve">1.2498 </w:t>
            </w:r>
          </w:p>
        </w:tc>
        <w:tc>
          <w:tcPr>
            <w:tcW w:w="744" w:type="dxa"/>
            <w:noWrap/>
          </w:tcPr>
          <w:p w14:paraId="10F5B84A">
            <w:pPr>
              <w:pStyle w:val="39"/>
              <w:rPr>
                <w:rFonts w:ascii="宋体" w:hAnsi="宋体"/>
                <w:sz w:val="18"/>
                <w:szCs w:val="18"/>
              </w:rPr>
            </w:pPr>
            <w:r>
              <w:rPr>
                <w:rFonts w:ascii="宋体" w:hAnsi="宋体"/>
                <w:sz w:val="18"/>
                <w:szCs w:val="18"/>
              </w:rPr>
              <w:t xml:space="preserve">1.1880 </w:t>
            </w:r>
          </w:p>
        </w:tc>
        <w:tc>
          <w:tcPr>
            <w:tcW w:w="744" w:type="dxa"/>
            <w:noWrap/>
          </w:tcPr>
          <w:p w14:paraId="3DAB9984">
            <w:pPr>
              <w:pStyle w:val="39"/>
              <w:rPr>
                <w:rFonts w:ascii="宋体" w:hAnsi="宋体"/>
                <w:sz w:val="18"/>
                <w:szCs w:val="18"/>
              </w:rPr>
            </w:pPr>
            <w:r>
              <w:rPr>
                <w:rFonts w:ascii="宋体" w:hAnsi="宋体"/>
                <w:sz w:val="18"/>
                <w:szCs w:val="18"/>
              </w:rPr>
              <w:t xml:space="preserve">1.1325 </w:t>
            </w:r>
          </w:p>
        </w:tc>
        <w:tc>
          <w:tcPr>
            <w:tcW w:w="744" w:type="dxa"/>
            <w:noWrap/>
          </w:tcPr>
          <w:p w14:paraId="7B2D445A">
            <w:pPr>
              <w:pStyle w:val="39"/>
              <w:rPr>
                <w:rFonts w:ascii="宋体" w:hAnsi="宋体"/>
                <w:sz w:val="18"/>
                <w:szCs w:val="18"/>
              </w:rPr>
            </w:pPr>
            <w:r>
              <w:rPr>
                <w:rFonts w:ascii="宋体" w:hAnsi="宋体"/>
                <w:sz w:val="18"/>
                <w:szCs w:val="18"/>
              </w:rPr>
              <w:t xml:space="preserve">1.0823 </w:t>
            </w:r>
          </w:p>
        </w:tc>
        <w:tc>
          <w:tcPr>
            <w:tcW w:w="744" w:type="dxa"/>
            <w:noWrap/>
          </w:tcPr>
          <w:p w14:paraId="12A42403">
            <w:pPr>
              <w:pStyle w:val="39"/>
              <w:rPr>
                <w:rFonts w:ascii="宋体" w:hAnsi="宋体"/>
                <w:sz w:val="18"/>
                <w:szCs w:val="18"/>
              </w:rPr>
            </w:pPr>
            <w:r>
              <w:rPr>
                <w:rFonts w:ascii="宋体" w:hAnsi="宋体"/>
                <w:sz w:val="18"/>
                <w:szCs w:val="18"/>
              </w:rPr>
              <w:t xml:space="preserve">1.0368 </w:t>
            </w:r>
          </w:p>
        </w:tc>
        <w:tc>
          <w:tcPr>
            <w:tcW w:w="744" w:type="dxa"/>
            <w:noWrap/>
          </w:tcPr>
          <w:p w14:paraId="3E064F8C">
            <w:pPr>
              <w:pStyle w:val="39"/>
              <w:rPr>
                <w:rFonts w:ascii="宋体" w:hAnsi="宋体"/>
                <w:sz w:val="18"/>
                <w:szCs w:val="18"/>
              </w:rPr>
            </w:pPr>
            <w:r>
              <w:rPr>
                <w:rFonts w:ascii="宋体" w:hAnsi="宋体"/>
                <w:sz w:val="18"/>
                <w:szCs w:val="18"/>
              </w:rPr>
              <w:t xml:space="preserve">0.9953 </w:t>
            </w:r>
          </w:p>
        </w:tc>
      </w:tr>
      <w:tr w14:paraId="17B92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45" w:type="dxa"/>
            <w:noWrap/>
          </w:tcPr>
          <w:p w14:paraId="4628671B">
            <w:pPr>
              <w:pStyle w:val="39"/>
              <w:rPr>
                <w:rFonts w:ascii="宋体" w:hAnsi="宋体"/>
                <w:sz w:val="18"/>
                <w:szCs w:val="18"/>
              </w:rPr>
            </w:pPr>
            <w:r>
              <w:rPr>
                <w:rFonts w:ascii="宋体" w:hAnsi="宋体"/>
                <w:sz w:val="18"/>
                <w:szCs w:val="18"/>
              </w:rPr>
              <w:t xml:space="preserve">1.00 </w:t>
            </w:r>
          </w:p>
        </w:tc>
        <w:tc>
          <w:tcPr>
            <w:tcW w:w="745" w:type="dxa"/>
            <w:noWrap/>
          </w:tcPr>
          <w:p w14:paraId="17086136">
            <w:pPr>
              <w:pStyle w:val="39"/>
              <w:rPr>
                <w:rFonts w:ascii="宋体" w:hAnsi="宋体"/>
                <w:sz w:val="18"/>
                <w:szCs w:val="18"/>
              </w:rPr>
            </w:pPr>
            <w:r>
              <w:rPr>
                <w:rFonts w:ascii="宋体" w:hAnsi="宋体"/>
                <w:sz w:val="18"/>
                <w:szCs w:val="18"/>
              </w:rPr>
              <w:t xml:space="preserve">1.7051 </w:t>
            </w:r>
          </w:p>
        </w:tc>
        <w:tc>
          <w:tcPr>
            <w:tcW w:w="745" w:type="dxa"/>
            <w:noWrap/>
          </w:tcPr>
          <w:p w14:paraId="37860565">
            <w:pPr>
              <w:pStyle w:val="39"/>
              <w:rPr>
                <w:rFonts w:ascii="宋体" w:hAnsi="宋体"/>
                <w:sz w:val="18"/>
                <w:szCs w:val="18"/>
              </w:rPr>
            </w:pPr>
            <w:r>
              <w:rPr>
                <w:rFonts w:ascii="宋体" w:hAnsi="宋体"/>
                <w:sz w:val="18"/>
                <w:szCs w:val="18"/>
              </w:rPr>
              <w:t xml:space="preserve">1.5906 </w:t>
            </w:r>
          </w:p>
        </w:tc>
        <w:tc>
          <w:tcPr>
            <w:tcW w:w="745" w:type="dxa"/>
            <w:noWrap/>
          </w:tcPr>
          <w:p w14:paraId="2B89D70C">
            <w:pPr>
              <w:pStyle w:val="39"/>
              <w:rPr>
                <w:rFonts w:ascii="宋体" w:hAnsi="宋体"/>
                <w:sz w:val="18"/>
                <w:szCs w:val="18"/>
              </w:rPr>
            </w:pPr>
            <w:r>
              <w:rPr>
                <w:rFonts w:ascii="宋体" w:hAnsi="宋体"/>
                <w:sz w:val="18"/>
                <w:szCs w:val="18"/>
              </w:rPr>
              <w:t xml:space="preserve">1.4911 </w:t>
            </w:r>
          </w:p>
        </w:tc>
        <w:tc>
          <w:tcPr>
            <w:tcW w:w="744" w:type="dxa"/>
            <w:noWrap/>
          </w:tcPr>
          <w:p w14:paraId="620BBBA7">
            <w:pPr>
              <w:pStyle w:val="39"/>
              <w:rPr>
                <w:rFonts w:ascii="宋体" w:hAnsi="宋体"/>
                <w:sz w:val="18"/>
                <w:szCs w:val="18"/>
              </w:rPr>
            </w:pPr>
            <w:r>
              <w:rPr>
                <w:rFonts w:ascii="宋体" w:hAnsi="宋体"/>
                <w:sz w:val="18"/>
                <w:szCs w:val="18"/>
              </w:rPr>
              <w:t xml:space="preserve">1.4041 </w:t>
            </w:r>
          </w:p>
        </w:tc>
        <w:tc>
          <w:tcPr>
            <w:tcW w:w="744" w:type="dxa"/>
            <w:noWrap/>
          </w:tcPr>
          <w:p w14:paraId="772ADCC4">
            <w:pPr>
              <w:pStyle w:val="39"/>
              <w:rPr>
                <w:rFonts w:ascii="宋体" w:hAnsi="宋体"/>
                <w:sz w:val="18"/>
                <w:szCs w:val="18"/>
              </w:rPr>
            </w:pPr>
            <w:r>
              <w:rPr>
                <w:rFonts w:ascii="宋体" w:hAnsi="宋体"/>
                <w:sz w:val="18"/>
                <w:szCs w:val="18"/>
              </w:rPr>
              <w:t xml:space="preserve">1.3273 </w:t>
            </w:r>
          </w:p>
        </w:tc>
        <w:tc>
          <w:tcPr>
            <w:tcW w:w="744" w:type="dxa"/>
            <w:noWrap/>
          </w:tcPr>
          <w:p w14:paraId="42644902">
            <w:pPr>
              <w:pStyle w:val="39"/>
              <w:rPr>
                <w:rFonts w:ascii="宋体" w:hAnsi="宋体"/>
                <w:sz w:val="18"/>
                <w:szCs w:val="18"/>
              </w:rPr>
            </w:pPr>
            <w:r>
              <w:rPr>
                <w:rFonts w:ascii="宋体" w:hAnsi="宋体"/>
                <w:sz w:val="18"/>
                <w:szCs w:val="18"/>
              </w:rPr>
              <w:t xml:space="preserve">1.2592 </w:t>
            </w:r>
          </w:p>
        </w:tc>
        <w:tc>
          <w:tcPr>
            <w:tcW w:w="744" w:type="dxa"/>
            <w:noWrap/>
          </w:tcPr>
          <w:p w14:paraId="1C51AAAB">
            <w:pPr>
              <w:pStyle w:val="39"/>
              <w:rPr>
                <w:rFonts w:ascii="宋体" w:hAnsi="宋体"/>
                <w:sz w:val="18"/>
                <w:szCs w:val="18"/>
              </w:rPr>
            </w:pPr>
            <w:r>
              <w:rPr>
                <w:rFonts w:ascii="宋体" w:hAnsi="宋体"/>
                <w:sz w:val="18"/>
                <w:szCs w:val="18"/>
              </w:rPr>
              <w:t xml:space="preserve">1.1984 </w:t>
            </w:r>
          </w:p>
        </w:tc>
        <w:tc>
          <w:tcPr>
            <w:tcW w:w="744" w:type="dxa"/>
            <w:noWrap/>
          </w:tcPr>
          <w:p w14:paraId="040D2CE7">
            <w:pPr>
              <w:pStyle w:val="39"/>
              <w:rPr>
                <w:rFonts w:ascii="宋体" w:hAnsi="宋体"/>
                <w:sz w:val="18"/>
                <w:szCs w:val="18"/>
              </w:rPr>
            </w:pPr>
            <w:r>
              <w:rPr>
                <w:rFonts w:ascii="宋体" w:hAnsi="宋体"/>
                <w:sz w:val="18"/>
                <w:szCs w:val="18"/>
              </w:rPr>
              <w:t xml:space="preserve">1.1437 </w:t>
            </w:r>
          </w:p>
        </w:tc>
        <w:tc>
          <w:tcPr>
            <w:tcW w:w="744" w:type="dxa"/>
            <w:noWrap/>
          </w:tcPr>
          <w:p w14:paraId="0880580A">
            <w:pPr>
              <w:pStyle w:val="39"/>
              <w:rPr>
                <w:rFonts w:ascii="宋体" w:hAnsi="宋体"/>
                <w:sz w:val="18"/>
                <w:szCs w:val="18"/>
              </w:rPr>
            </w:pPr>
            <w:r>
              <w:rPr>
                <w:rFonts w:ascii="宋体" w:hAnsi="宋体"/>
                <w:sz w:val="18"/>
                <w:szCs w:val="18"/>
              </w:rPr>
              <w:t xml:space="preserve">1.0943 </w:t>
            </w:r>
          </w:p>
        </w:tc>
        <w:tc>
          <w:tcPr>
            <w:tcW w:w="744" w:type="dxa"/>
            <w:noWrap/>
          </w:tcPr>
          <w:p w14:paraId="3EBE1B00">
            <w:pPr>
              <w:pStyle w:val="39"/>
              <w:rPr>
                <w:rFonts w:ascii="宋体" w:hAnsi="宋体"/>
                <w:sz w:val="18"/>
                <w:szCs w:val="18"/>
              </w:rPr>
            </w:pPr>
            <w:r>
              <w:rPr>
                <w:rFonts w:ascii="宋体" w:hAnsi="宋体"/>
                <w:sz w:val="18"/>
                <w:szCs w:val="18"/>
              </w:rPr>
              <w:t xml:space="preserve">1.0495 </w:t>
            </w:r>
          </w:p>
        </w:tc>
        <w:tc>
          <w:tcPr>
            <w:tcW w:w="744" w:type="dxa"/>
            <w:noWrap/>
          </w:tcPr>
          <w:p w14:paraId="1E1E9EA7">
            <w:pPr>
              <w:pStyle w:val="39"/>
              <w:rPr>
                <w:rFonts w:ascii="宋体" w:hAnsi="宋体"/>
                <w:sz w:val="18"/>
                <w:szCs w:val="18"/>
              </w:rPr>
            </w:pPr>
            <w:r>
              <w:rPr>
                <w:rFonts w:ascii="宋体" w:hAnsi="宋体"/>
                <w:sz w:val="18"/>
                <w:szCs w:val="18"/>
              </w:rPr>
              <w:t xml:space="preserve">1.0086 </w:t>
            </w:r>
          </w:p>
        </w:tc>
      </w:tr>
    </w:tbl>
    <w:p w14:paraId="056D1CE2">
      <w:pPr>
        <w:spacing w:before="156"/>
        <w:ind w:firstLine="480"/>
      </w:pPr>
    </w:p>
    <w:p w14:paraId="1A7315AC">
      <w:pPr>
        <w:spacing w:before="156"/>
        <w:ind w:firstLine="480"/>
      </w:pPr>
    </w:p>
    <w:p w14:paraId="53AA92EF">
      <w:pPr>
        <w:spacing w:before="156"/>
        <w:ind w:firstLine="480"/>
      </w:pPr>
    </w:p>
    <w:p w14:paraId="5331CAEB">
      <w:pPr>
        <w:spacing w:before="156"/>
        <w:ind w:firstLine="480"/>
      </w:pPr>
    </w:p>
    <w:p w14:paraId="70F5DEB7">
      <w:pPr>
        <w:spacing w:before="156"/>
        <w:ind w:firstLine="480"/>
      </w:pPr>
    </w:p>
    <w:p w14:paraId="4D62DD5B">
      <w:pPr>
        <w:spacing w:before="156"/>
        <w:ind w:firstLine="480"/>
      </w:pPr>
    </w:p>
    <w:p w14:paraId="40F1E03E">
      <w:pPr>
        <w:spacing w:before="156"/>
        <w:ind w:firstLine="480"/>
      </w:pPr>
    </w:p>
    <w:p w14:paraId="5BFABE06">
      <w:pPr>
        <w:pStyle w:val="4"/>
        <w:pageBreakBefore/>
        <w:spacing w:before="156"/>
      </w:pPr>
      <w:r>
        <w:rPr>
          <w:rFonts w:hint="eastAsia"/>
        </w:rPr>
        <w:t>用词说明</w:t>
      </w:r>
    </w:p>
    <w:p w14:paraId="194D2FFB">
      <w:pPr>
        <w:spacing w:before="156"/>
        <w:ind w:firstLine="480"/>
      </w:pPr>
      <w:r>
        <w:rPr>
          <w:rFonts w:hint="eastAsia"/>
        </w:rPr>
        <w:t>为便于在执行本标准条文时区别对待，对要求严格程度不同的用词说明如下：</w:t>
      </w:r>
    </w:p>
    <w:p w14:paraId="41366755">
      <w:pPr>
        <w:pStyle w:val="45"/>
        <w:numPr>
          <w:ilvl w:val="0"/>
          <w:numId w:val="2"/>
        </w:numPr>
        <w:spacing w:before="156" w:beforeLines="0"/>
        <w:ind w:firstLineChars="0"/>
      </w:pPr>
      <w:r>
        <w:rPr>
          <w:rFonts w:hint="eastAsia"/>
        </w:rPr>
        <w:t>表示很严格,非这样做不可的：</w:t>
      </w:r>
    </w:p>
    <w:p w14:paraId="5F26F5BA">
      <w:pPr>
        <w:spacing w:beforeLines="0"/>
        <w:ind w:left="360" w:firstLine="480"/>
      </w:pPr>
      <w:r>
        <w:rPr>
          <w:rFonts w:hint="eastAsia"/>
        </w:rPr>
        <w:t>正面词采用“必须”,反面词采用“严禁”；</w:t>
      </w:r>
    </w:p>
    <w:p w14:paraId="74ADD634">
      <w:pPr>
        <w:pStyle w:val="45"/>
        <w:numPr>
          <w:ilvl w:val="0"/>
          <w:numId w:val="2"/>
        </w:numPr>
        <w:spacing w:before="156" w:beforeLines="0"/>
        <w:ind w:firstLineChars="0"/>
      </w:pPr>
      <w:r>
        <w:rPr>
          <w:rFonts w:hint="eastAsia"/>
        </w:rPr>
        <w:t>表示严格,在正常情况下均应这样做的：</w:t>
      </w:r>
    </w:p>
    <w:p w14:paraId="4BFF8FD6">
      <w:pPr>
        <w:spacing w:beforeLines="0"/>
        <w:ind w:left="360" w:firstLine="480"/>
      </w:pPr>
      <w:r>
        <w:rPr>
          <w:rFonts w:hint="eastAsia"/>
        </w:rPr>
        <w:t>正面词采用“应”,反面词采用“不应”或“不得”；</w:t>
      </w:r>
    </w:p>
    <w:p w14:paraId="263DE3D4">
      <w:pPr>
        <w:pStyle w:val="45"/>
        <w:numPr>
          <w:ilvl w:val="0"/>
          <w:numId w:val="2"/>
        </w:numPr>
        <w:spacing w:before="156" w:beforeLines="0"/>
        <w:ind w:firstLineChars="0"/>
      </w:pPr>
      <w:r>
        <w:rPr>
          <w:rFonts w:hint="eastAsia"/>
        </w:rPr>
        <w:t>表示允许稍有选择,在条件许可时首先应这样做的：</w:t>
      </w:r>
    </w:p>
    <w:p w14:paraId="2F5A02C0">
      <w:pPr>
        <w:spacing w:beforeLines="0"/>
        <w:ind w:left="360" w:firstLine="480"/>
      </w:pPr>
      <w:r>
        <w:rPr>
          <w:rFonts w:hint="eastAsia"/>
        </w:rPr>
        <w:t>正面词采用“宜”,反面词采用“不宜”；</w:t>
      </w:r>
    </w:p>
    <w:p w14:paraId="32152C7D">
      <w:pPr>
        <w:pStyle w:val="45"/>
        <w:numPr>
          <w:ilvl w:val="0"/>
          <w:numId w:val="2"/>
        </w:numPr>
        <w:spacing w:before="156" w:beforeLines="0"/>
        <w:ind w:firstLineChars="0"/>
      </w:pPr>
      <w:r>
        <w:rPr>
          <w:rFonts w:hint="eastAsia"/>
        </w:rPr>
        <w:t>表示有选择,在一定条件下可以这样做的,采用“可”</w:t>
      </w:r>
    </w:p>
    <w:p w14:paraId="1D06F134">
      <w:pPr>
        <w:spacing w:before="156" w:beforeLines="0"/>
        <w:ind w:firstLine="480"/>
      </w:pPr>
    </w:p>
    <w:p w14:paraId="24907764">
      <w:pPr>
        <w:spacing w:before="156" w:beforeLines="0"/>
        <w:ind w:firstLine="480"/>
      </w:pPr>
    </w:p>
    <w:p w14:paraId="713862AF">
      <w:pPr>
        <w:spacing w:before="156" w:beforeLines="0"/>
        <w:ind w:firstLine="480"/>
      </w:pPr>
    </w:p>
    <w:p w14:paraId="3FD5B439">
      <w:pPr>
        <w:spacing w:before="156" w:beforeLines="0"/>
        <w:ind w:firstLine="480"/>
      </w:pPr>
    </w:p>
    <w:p w14:paraId="389E2FB3">
      <w:pPr>
        <w:spacing w:before="156" w:beforeLines="0"/>
        <w:ind w:firstLine="480"/>
      </w:pPr>
    </w:p>
    <w:p w14:paraId="4BB4925C">
      <w:pPr>
        <w:spacing w:before="156" w:beforeLines="0"/>
        <w:ind w:firstLine="480"/>
      </w:pPr>
    </w:p>
    <w:p w14:paraId="5DAF15A2">
      <w:pPr>
        <w:spacing w:before="156" w:beforeLines="0"/>
        <w:ind w:firstLine="480"/>
      </w:pPr>
    </w:p>
    <w:p w14:paraId="25E3C81D">
      <w:pPr>
        <w:spacing w:before="156" w:beforeLines="0"/>
        <w:ind w:firstLine="480"/>
      </w:pPr>
    </w:p>
    <w:p w14:paraId="3A714395">
      <w:pPr>
        <w:spacing w:before="156" w:beforeLines="0"/>
        <w:ind w:firstLine="480"/>
      </w:pPr>
    </w:p>
    <w:p w14:paraId="09087E1C">
      <w:pPr>
        <w:spacing w:before="156" w:beforeLines="0"/>
        <w:ind w:firstLine="480"/>
      </w:pPr>
    </w:p>
    <w:p w14:paraId="43F62681">
      <w:pPr>
        <w:spacing w:before="156" w:beforeLines="0"/>
        <w:ind w:firstLine="480"/>
      </w:pPr>
    </w:p>
    <w:p w14:paraId="7BD66FBA">
      <w:pPr>
        <w:spacing w:before="156" w:beforeLines="0"/>
        <w:ind w:firstLine="480"/>
      </w:pPr>
    </w:p>
    <w:p w14:paraId="258A1192">
      <w:pPr>
        <w:spacing w:before="156" w:beforeLines="0"/>
        <w:ind w:firstLine="480"/>
      </w:pPr>
    </w:p>
    <w:p w14:paraId="4F9371A1">
      <w:pPr>
        <w:spacing w:before="156" w:beforeLines="0"/>
        <w:ind w:firstLine="480"/>
      </w:pPr>
    </w:p>
    <w:p w14:paraId="367F58B4">
      <w:pPr>
        <w:spacing w:before="156" w:beforeLines="0"/>
        <w:ind w:firstLine="480"/>
      </w:pPr>
    </w:p>
    <w:p w14:paraId="5A798FD4">
      <w:pPr>
        <w:pStyle w:val="4"/>
        <w:pageBreakBefore/>
        <w:spacing w:before="156"/>
      </w:pPr>
      <w:r>
        <w:rPr>
          <w:rFonts w:hint="eastAsia"/>
        </w:rPr>
        <w:t>引用标准名录</w:t>
      </w:r>
    </w:p>
    <w:p w14:paraId="13928900">
      <w:pPr>
        <w:spacing w:beforeLines="0"/>
        <w:ind w:firstLine="480"/>
      </w:pPr>
      <w:r>
        <w:rPr>
          <w:rFonts w:hint="eastAsia"/>
        </w:rPr>
        <w:t>本标准引用下列标准。其中，注日期的，仅该日期对应的版本适用本标准；不注日期的，其最新版适用于本标准。</w:t>
      </w:r>
    </w:p>
    <w:p w14:paraId="779E806A">
      <w:pPr>
        <w:spacing w:beforeLines="0"/>
        <w:ind w:firstLine="480"/>
      </w:pPr>
      <w:r>
        <w:rPr>
          <w:rFonts w:hint="eastAsia"/>
        </w:rPr>
        <w:t>《建筑地基基础设计规范》GB 50007</w:t>
      </w:r>
    </w:p>
    <w:p w14:paraId="16B16449">
      <w:pPr>
        <w:spacing w:beforeLines="0"/>
        <w:ind w:firstLine="480"/>
      </w:pPr>
      <w:r>
        <w:rPr>
          <w:rFonts w:hint="eastAsia"/>
        </w:rPr>
        <w:t>《建筑结构荷载规范》GB 50009</w:t>
      </w:r>
    </w:p>
    <w:p w14:paraId="2E610F13">
      <w:pPr>
        <w:spacing w:beforeLines="0"/>
        <w:ind w:firstLine="480"/>
      </w:pPr>
      <w:r>
        <w:rPr>
          <w:rFonts w:hint="eastAsia"/>
        </w:rPr>
        <w:t>《混凝土结构设计标准》GB 50010</w:t>
      </w:r>
    </w:p>
    <w:p w14:paraId="5C8C1B7A">
      <w:pPr>
        <w:spacing w:beforeLines="0"/>
        <w:ind w:firstLine="480"/>
      </w:pPr>
      <w:r>
        <w:rPr>
          <w:rFonts w:hint="eastAsia"/>
        </w:rPr>
        <w:t>《建筑抗震设计标准》GB 50011</w:t>
      </w:r>
    </w:p>
    <w:p w14:paraId="0606ED6B">
      <w:pPr>
        <w:spacing w:beforeLines="0"/>
        <w:ind w:firstLine="480"/>
      </w:pPr>
      <w:r>
        <w:rPr>
          <w:rFonts w:hint="eastAsia"/>
        </w:rPr>
        <w:t>《钢结构设计标准》GB 50017</w:t>
      </w:r>
    </w:p>
    <w:p w14:paraId="52CECA08">
      <w:pPr>
        <w:spacing w:beforeLines="0"/>
        <w:ind w:firstLine="480"/>
      </w:pPr>
      <w:r>
        <w:rPr>
          <w:rFonts w:hint="eastAsia"/>
        </w:rPr>
        <w:t>《动力机器基础设计标准》GB 50040</w:t>
      </w:r>
    </w:p>
    <w:p w14:paraId="62297C88">
      <w:pPr>
        <w:spacing w:beforeLines="0"/>
        <w:ind w:firstLine="480"/>
      </w:pPr>
      <w:r>
        <w:rPr>
          <w:rFonts w:hint="eastAsia"/>
        </w:rPr>
        <w:t>《地基动力特性测试规范》GB/T 50269</w:t>
      </w:r>
    </w:p>
    <w:p w14:paraId="6C9B4F43">
      <w:pPr>
        <w:spacing w:beforeLines="0"/>
        <w:ind w:firstLine="480"/>
      </w:pPr>
      <w:r>
        <w:rPr>
          <w:rFonts w:hint="eastAsia"/>
        </w:rPr>
        <w:t>《建筑工程容许振动标准》GB 50868</w:t>
      </w:r>
    </w:p>
    <w:p w14:paraId="1D3C9FB9">
      <w:pPr>
        <w:spacing w:beforeLines="0"/>
        <w:ind w:firstLine="480"/>
      </w:pPr>
      <w:r>
        <w:rPr>
          <w:rFonts w:hint="eastAsia"/>
        </w:rPr>
        <w:t>《建筑振动荷载标准》GB/T 51228</w:t>
      </w:r>
    </w:p>
    <w:p w14:paraId="39C842B7">
      <w:pPr>
        <w:spacing w:beforeLines="0"/>
        <w:ind w:firstLine="480"/>
      </w:pPr>
      <w:r>
        <w:rPr>
          <w:rFonts w:hint="eastAsia"/>
        </w:rPr>
        <w:t>《建筑与市政工程防水通用规范》GB 55030</w:t>
      </w:r>
    </w:p>
    <w:p w14:paraId="52B43D65">
      <w:pPr>
        <w:spacing w:beforeLines="0"/>
        <w:ind w:firstLine="480"/>
      </w:pPr>
      <w:r>
        <w:rPr>
          <w:rFonts w:hint="eastAsia"/>
        </w:rPr>
        <w:t>《振动位移传感器检定规程》JJG 644</w:t>
      </w:r>
    </w:p>
    <w:p w14:paraId="67A44081">
      <w:pPr>
        <w:spacing w:beforeLines="0"/>
        <w:ind w:firstLine="480"/>
      </w:pPr>
      <w:r>
        <w:rPr>
          <w:rFonts w:hint="eastAsia"/>
        </w:rPr>
        <w:t>《振动位移传感器检定规程》JJG882</w:t>
      </w:r>
    </w:p>
    <w:p w14:paraId="234B7586">
      <w:pPr>
        <w:spacing w:beforeLines="0"/>
        <w:ind w:firstLine="480"/>
      </w:pPr>
    </w:p>
    <w:p w14:paraId="00947DFC">
      <w:pPr>
        <w:spacing w:before="156" w:beforeLines="0"/>
        <w:ind w:firstLine="480"/>
      </w:pPr>
    </w:p>
    <w:p w14:paraId="6F49C213">
      <w:pPr>
        <w:spacing w:before="156" w:beforeLines="0"/>
        <w:ind w:firstLine="480"/>
      </w:pPr>
    </w:p>
    <w:p w14:paraId="076DD09F">
      <w:pPr>
        <w:spacing w:before="156" w:beforeLines="0"/>
        <w:ind w:firstLine="480"/>
      </w:pPr>
    </w:p>
    <w:p w14:paraId="6D0968F2">
      <w:pPr>
        <w:spacing w:before="156" w:beforeLines="0"/>
        <w:ind w:firstLine="480"/>
      </w:pPr>
    </w:p>
    <w:p w14:paraId="66362E63">
      <w:pPr>
        <w:spacing w:before="156" w:beforeLines="0"/>
        <w:ind w:firstLine="480"/>
      </w:pPr>
    </w:p>
    <w:p w14:paraId="7130C54A">
      <w:pPr>
        <w:spacing w:before="156" w:beforeLines="0"/>
        <w:ind w:firstLine="480"/>
      </w:pPr>
    </w:p>
    <w:p w14:paraId="3E67D9C8">
      <w:pPr>
        <w:spacing w:before="156" w:beforeLines="0"/>
        <w:ind w:firstLine="480"/>
      </w:pPr>
    </w:p>
    <w:p w14:paraId="7FD74AD0">
      <w:pPr>
        <w:spacing w:before="156" w:beforeLines="0"/>
        <w:ind w:firstLine="480"/>
      </w:pPr>
    </w:p>
    <w:p w14:paraId="5D8CC912">
      <w:pPr>
        <w:spacing w:before="156" w:beforeLines="0"/>
        <w:ind w:firstLine="480"/>
      </w:pPr>
    </w:p>
    <w:p w14:paraId="711B4A5A">
      <w:pPr>
        <w:spacing w:before="156" w:beforeLines="0"/>
        <w:ind w:firstLine="480"/>
      </w:pPr>
    </w:p>
    <w:p w14:paraId="32839646">
      <w:pPr>
        <w:spacing w:before="156" w:beforeLines="0"/>
        <w:ind w:firstLine="480"/>
      </w:pPr>
    </w:p>
    <w:p w14:paraId="29C2ADA3">
      <w:pPr>
        <w:spacing w:before="156" w:beforeLines="0"/>
        <w:ind w:firstLine="480"/>
      </w:pPr>
    </w:p>
    <w:p w14:paraId="7AB21157">
      <w:pPr>
        <w:overflowPunct w:val="0"/>
        <w:topLinePunct/>
        <w:spacing w:before="156"/>
        <w:ind w:firstLine="480"/>
        <w:rPr>
          <w:rFonts w:cs="Times New Roman"/>
          <w:szCs w:val="24"/>
        </w:rPr>
      </w:pPr>
    </w:p>
    <w:p w14:paraId="4ED92425">
      <w:pPr>
        <w:overflowPunct w:val="0"/>
        <w:topLinePunct/>
        <w:spacing w:before="156"/>
        <w:ind w:firstLine="480"/>
        <w:rPr>
          <w:rFonts w:cs="Times New Roman"/>
          <w:szCs w:val="24"/>
        </w:rPr>
      </w:pPr>
    </w:p>
    <w:p w14:paraId="5ED1C2B3">
      <w:pPr>
        <w:overflowPunct w:val="0"/>
        <w:topLinePunct/>
        <w:spacing w:before="156"/>
        <w:ind w:firstLine="643"/>
        <w:jc w:val="center"/>
        <w:rPr>
          <w:rFonts w:cs="Times New Roman"/>
          <w:b/>
          <w:bCs/>
          <w:sz w:val="32"/>
          <w:szCs w:val="30"/>
        </w:rPr>
      </w:pPr>
      <w:r>
        <w:rPr>
          <w:rFonts w:cs="Times New Roman"/>
          <w:b/>
          <w:bCs/>
          <w:sz w:val="32"/>
          <w:szCs w:val="30"/>
        </w:rPr>
        <w:t>中国工程建设标准化协会标准</w:t>
      </w:r>
    </w:p>
    <w:p w14:paraId="302730E8">
      <w:pPr>
        <w:overflowPunct w:val="0"/>
        <w:topLinePunct/>
        <w:spacing w:before="156"/>
        <w:ind w:firstLine="602"/>
        <w:jc w:val="center"/>
        <w:rPr>
          <w:rFonts w:cs="Times New Roman"/>
          <w:b/>
          <w:bCs/>
          <w:sz w:val="30"/>
          <w:szCs w:val="30"/>
        </w:rPr>
      </w:pPr>
    </w:p>
    <w:p w14:paraId="6A8C12FD">
      <w:pPr>
        <w:overflowPunct w:val="0"/>
        <w:topLinePunct/>
        <w:spacing w:before="156"/>
        <w:ind w:firstLine="1044"/>
        <w:jc w:val="center"/>
        <w:rPr>
          <w:rFonts w:cs="Times New Roman"/>
          <w:b/>
          <w:bCs/>
          <w:sz w:val="52"/>
          <w:szCs w:val="44"/>
        </w:rPr>
      </w:pPr>
      <w:r>
        <w:rPr>
          <w:rFonts w:hint="eastAsia" w:cs="Times New Roman"/>
          <w:b/>
          <w:bCs/>
          <w:sz w:val="52"/>
          <w:szCs w:val="44"/>
        </w:rPr>
        <w:t>锻锤</w:t>
      </w:r>
      <w:r>
        <w:rPr>
          <w:rFonts w:cs="Times New Roman"/>
          <w:b/>
          <w:bCs/>
          <w:sz w:val="52"/>
          <w:szCs w:val="44"/>
        </w:rPr>
        <w:t>基础设计标准</w:t>
      </w:r>
    </w:p>
    <w:p w14:paraId="1AC16488">
      <w:pPr>
        <w:overflowPunct w:val="0"/>
        <w:topLinePunct/>
        <w:spacing w:before="156"/>
        <w:ind w:firstLine="562"/>
        <w:jc w:val="center"/>
        <w:rPr>
          <w:rFonts w:cs="Times New Roman"/>
          <w:b/>
          <w:bCs/>
          <w:sz w:val="28"/>
          <w:szCs w:val="32"/>
        </w:rPr>
      </w:pPr>
      <w:r>
        <w:rPr>
          <w:rFonts w:cs="Times New Roman"/>
          <w:b/>
          <w:bCs/>
          <w:sz w:val="28"/>
          <w:szCs w:val="32"/>
        </w:rPr>
        <w:t>T/CECS XXX-202X</w:t>
      </w:r>
    </w:p>
    <w:p w14:paraId="083A691C">
      <w:pPr>
        <w:overflowPunct w:val="0"/>
        <w:topLinePunct/>
        <w:spacing w:before="156"/>
        <w:ind w:firstLine="562"/>
        <w:jc w:val="center"/>
        <w:rPr>
          <w:rFonts w:cs="Times New Roman"/>
          <w:b/>
          <w:bCs/>
          <w:sz w:val="28"/>
          <w:szCs w:val="32"/>
        </w:rPr>
      </w:pPr>
    </w:p>
    <w:p w14:paraId="43DF1763">
      <w:pPr>
        <w:overflowPunct w:val="0"/>
        <w:topLinePunct/>
        <w:spacing w:before="156"/>
        <w:ind w:firstLine="562"/>
        <w:jc w:val="center"/>
        <w:rPr>
          <w:rFonts w:cs="Times New Roman"/>
          <w:b/>
          <w:bCs/>
          <w:sz w:val="28"/>
          <w:szCs w:val="32"/>
        </w:rPr>
      </w:pPr>
    </w:p>
    <w:p w14:paraId="6090FDFD">
      <w:pPr>
        <w:pStyle w:val="2"/>
        <w:ind w:right="3161" w:rightChars="1317" w:firstLine="3248" w:firstLineChars="1015"/>
        <w:jc w:val="distribute"/>
        <w:rPr>
          <w:rFonts w:cs="Times New Roman"/>
          <w:sz w:val="32"/>
        </w:rPr>
      </w:pPr>
      <w:bookmarkStart w:id="20" w:name="_Toc159252985"/>
      <w:bookmarkStart w:id="21" w:name="_Toc171062795"/>
      <w:bookmarkStart w:id="22" w:name="_Toc169011938"/>
      <w:bookmarkStart w:id="23" w:name="_Toc207010474"/>
      <w:bookmarkStart w:id="24" w:name="_Toc171197748"/>
      <w:bookmarkStart w:id="25" w:name="_Toc171197643"/>
      <w:r>
        <w:rPr>
          <w:rFonts w:cs="Times New Roman"/>
          <w:sz w:val="32"/>
        </w:rPr>
        <w:t>条文说明</w:t>
      </w:r>
      <w:bookmarkEnd w:id="20"/>
      <w:bookmarkEnd w:id="21"/>
      <w:bookmarkEnd w:id="22"/>
      <w:bookmarkEnd w:id="23"/>
      <w:bookmarkEnd w:id="24"/>
      <w:bookmarkEnd w:id="25"/>
    </w:p>
    <w:p w14:paraId="356CC8A0">
      <w:pPr>
        <w:overflowPunct w:val="0"/>
        <w:topLinePunct/>
        <w:spacing w:before="156"/>
        <w:ind w:firstLine="640"/>
        <w:jc w:val="right"/>
        <w:rPr>
          <w:rFonts w:cs="Times New Roman"/>
          <w:sz w:val="32"/>
          <w:szCs w:val="32"/>
        </w:rPr>
      </w:pPr>
    </w:p>
    <w:p w14:paraId="6C8F61F7">
      <w:pPr>
        <w:overflowPunct w:val="0"/>
        <w:topLinePunct/>
        <w:spacing w:before="156"/>
        <w:ind w:firstLine="640"/>
        <w:jc w:val="right"/>
        <w:rPr>
          <w:rFonts w:cs="Times New Roman"/>
          <w:sz w:val="32"/>
          <w:szCs w:val="32"/>
        </w:rPr>
      </w:pPr>
    </w:p>
    <w:p w14:paraId="4F08AE71">
      <w:pPr>
        <w:overflowPunct w:val="0"/>
        <w:topLinePunct/>
        <w:spacing w:before="156"/>
        <w:ind w:firstLine="640"/>
        <w:jc w:val="right"/>
        <w:rPr>
          <w:rFonts w:cs="Times New Roman"/>
          <w:sz w:val="32"/>
          <w:szCs w:val="32"/>
        </w:rPr>
      </w:pPr>
    </w:p>
    <w:p w14:paraId="03196CE6">
      <w:pPr>
        <w:overflowPunct w:val="0"/>
        <w:topLinePunct/>
        <w:spacing w:before="156"/>
        <w:ind w:firstLine="640"/>
        <w:jc w:val="right"/>
        <w:rPr>
          <w:rFonts w:cs="Times New Roman"/>
          <w:sz w:val="32"/>
          <w:szCs w:val="32"/>
        </w:rPr>
      </w:pPr>
    </w:p>
    <w:p w14:paraId="198D6ED8">
      <w:pPr>
        <w:overflowPunct w:val="0"/>
        <w:topLinePunct/>
        <w:spacing w:before="156"/>
        <w:ind w:firstLine="640"/>
        <w:jc w:val="right"/>
        <w:rPr>
          <w:rFonts w:cs="Times New Roman"/>
          <w:sz w:val="32"/>
          <w:szCs w:val="32"/>
        </w:rPr>
      </w:pPr>
    </w:p>
    <w:p w14:paraId="29596350">
      <w:pPr>
        <w:overflowPunct w:val="0"/>
        <w:topLinePunct/>
        <w:spacing w:before="156"/>
        <w:ind w:firstLine="640"/>
        <w:rPr>
          <w:rFonts w:cs="Times New Roman"/>
          <w:sz w:val="32"/>
          <w:szCs w:val="32"/>
        </w:rPr>
      </w:pPr>
    </w:p>
    <w:p w14:paraId="6543CEF3">
      <w:pPr>
        <w:overflowPunct w:val="0"/>
        <w:topLinePunct/>
        <w:spacing w:before="156"/>
        <w:ind w:firstLine="640"/>
        <w:rPr>
          <w:rFonts w:cs="Times New Roman"/>
          <w:sz w:val="32"/>
          <w:szCs w:val="32"/>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416" w:bottom="1440" w:left="1800" w:header="851" w:footer="768" w:gutter="0"/>
          <w:pgNumType w:start="47"/>
          <w:cols w:space="425" w:num="1"/>
          <w:docGrid w:type="lines" w:linePitch="312" w:charSpace="0"/>
        </w:sectPr>
      </w:pPr>
    </w:p>
    <w:p w14:paraId="11478CB8">
      <w:pPr>
        <w:overflowPunct w:val="0"/>
        <w:topLinePunct/>
        <w:spacing w:before="156" w:line="312" w:lineRule="auto"/>
        <w:ind w:firstLine="643"/>
        <w:jc w:val="center"/>
        <w:rPr>
          <w:rFonts w:cs="Times New Roman"/>
          <w:b/>
          <w:sz w:val="32"/>
          <w:szCs w:val="30"/>
        </w:rPr>
      </w:pPr>
      <w:r>
        <w:rPr>
          <w:rFonts w:cs="Times New Roman"/>
          <w:b/>
          <w:sz w:val="32"/>
          <w:szCs w:val="30"/>
        </w:rPr>
        <w:t>制定说明</w:t>
      </w:r>
    </w:p>
    <w:p w14:paraId="00EE1C08">
      <w:pPr>
        <w:overflowPunct w:val="0"/>
        <w:topLinePunct/>
        <w:adjustRightInd w:val="0"/>
        <w:spacing w:before="156" w:line="312" w:lineRule="auto"/>
        <w:ind w:firstLine="480"/>
        <w:rPr>
          <w:rFonts w:cs="Times New Roman"/>
          <w:kern w:val="0"/>
          <w:szCs w:val="24"/>
        </w:rPr>
      </w:pPr>
    </w:p>
    <w:p w14:paraId="49B60053">
      <w:pPr>
        <w:overflowPunct w:val="0"/>
        <w:topLinePunct/>
        <w:adjustRightInd w:val="0"/>
        <w:spacing w:before="156"/>
        <w:ind w:firstLine="480"/>
        <w:rPr>
          <w:rFonts w:cs="Times New Roman"/>
          <w:kern w:val="0"/>
          <w:szCs w:val="24"/>
        </w:rPr>
      </w:pPr>
      <w:r>
        <w:rPr>
          <w:rFonts w:cs="Times New Roman"/>
          <w:kern w:val="0"/>
          <w:szCs w:val="24"/>
          <w:lang w:val="zh-CN"/>
        </w:rPr>
        <w:t>本标准在编制过程中</w:t>
      </w:r>
      <w:r>
        <w:rPr>
          <w:rFonts w:cs="Times New Roman"/>
          <w:kern w:val="0"/>
          <w:szCs w:val="24"/>
        </w:rPr>
        <w:t>，</w:t>
      </w:r>
      <w:r>
        <w:rPr>
          <w:rFonts w:cs="Times New Roman"/>
          <w:kern w:val="0"/>
          <w:szCs w:val="24"/>
          <w:lang w:val="zh-CN"/>
        </w:rPr>
        <w:t>编制组开展了专题研究</w:t>
      </w:r>
      <w:r>
        <w:rPr>
          <w:rFonts w:cs="Times New Roman"/>
          <w:kern w:val="0"/>
          <w:szCs w:val="24"/>
        </w:rPr>
        <w:t>，</w:t>
      </w:r>
      <w:r>
        <w:rPr>
          <w:rFonts w:cs="Times New Roman"/>
          <w:kern w:val="0"/>
          <w:szCs w:val="24"/>
          <w:lang w:val="zh-CN"/>
        </w:rPr>
        <w:t>进行了广泛的调查分析</w:t>
      </w:r>
      <w:r>
        <w:rPr>
          <w:rFonts w:cs="Times New Roman"/>
          <w:kern w:val="0"/>
          <w:szCs w:val="24"/>
        </w:rPr>
        <w:t>，</w:t>
      </w:r>
      <w:r>
        <w:rPr>
          <w:rFonts w:cs="Times New Roman"/>
          <w:kern w:val="0"/>
          <w:szCs w:val="24"/>
          <w:lang w:val="zh-CN"/>
        </w:rPr>
        <w:t>总结了我国在</w:t>
      </w:r>
      <w:r>
        <w:rPr>
          <w:rFonts w:hint="eastAsia" w:cs="Times New Roman"/>
          <w:kern w:val="0"/>
          <w:szCs w:val="24"/>
          <w:lang w:val="zh-CN"/>
        </w:rPr>
        <w:t>锻锤</w:t>
      </w:r>
      <w:r>
        <w:rPr>
          <w:rFonts w:cs="Times New Roman"/>
          <w:kern w:val="0"/>
          <w:szCs w:val="24"/>
          <w:lang w:val="zh-CN"/>
        </w:rPr>
        <w:t>基础设计方法方面的实践经验</w:t>
      </w:r>
      <w:r>
        <w:rPr>
          <w:rFonts w:cs="Times New Roman"/>
          <w:kern w:val="0"/>
          <w:szCs w:val="24"/>
        </w:rPr>
        <w:t>，</w:t>
      </w:r>
      <w:r>
        <w:rPr>
          <w:rFonts w:cs="Times New Roman"/>
          <w:kern w:val="0"/>
          <w:szCs w:val="24"/>
          <w:lang w:val="zh-CN"/>
        </w:rPr>
        <w:t>与相关标准进行了协调、与国际先进标准进行了比较和借鉴。</w:t>
      </w:r>
    </w:p>
    <w:p w14:paraId="66374A71">
      <w:pPr>
        <w:overflowPunct w:val="0"/>
        <w:topLinePunct/>
        <w:adjustRightInd w:val="0"/>
        <w:spacing w:before="156"/>
        <w:ind w:firstLine="480"/>
        <w:rPr>
          <w:rFonts w:cs="Times New Roman"/>
          <w:kern w:val="0"/>
          <w:szCs w:val="24"/>
          <w:lang w:val="zh-CN"/>
        </w:rPr>
      </w:pPr>
      <w:r>
        <w:rPr>
          <w:rFonts w:cs="Times New Roman"/>
          <w:kern w:val="0"/>
          <w:szCs w:val="24"/>
          <w:lang w:val="zh-CN"/>
        </w:rPr>
        <w:t>为便于广大技术和管理人员在使用本标准时能正确理解和执行条款规定，《</w:t>
      </w:r>
      <w:r>
        <w:rPr>
          <w:rFonts w:hint="eastAsia" w:cs="Times New Roman"/>
          <w:kern w:val="0"/>
          <w:szCs w:val="24"/>
          <w:lang w:val="zh-CN"/>
        </w:rPr>
        <w:t>锻锤</w:t>
      </w:r>
      <w:r>
        <w:rPr>
          <w:rFonts w:cs="Times New Roman"/>
          <w:kern w:val="0"/>
          <w:szCs w:val="24"/>
          <w:lang w:val="zh-CN"/>
        </w:rPr>
        <w:t>基础设计标准》编制组按章、节、条顺序编制了本标准的条文说明，对条款规定的目的、依据以及执行中需注意的有关事项进行了说明。本条文说明不具备与标准正文同等的法律效力，仅供使用者作为理解和把握</w:t>
      </w:r>
      <w:r>
        <w:rPr>
          <w:rFonts w:hint="eastAsia" w:cs="Times New Roman"/>
          <w:kern w:val="0"/>
          <w:szCs w:val="24"/>
          <w:lang w:val="zh-CN"/>
        </w:rPr>
        <w:t>条款</w:t>
      </w:r>
      <w:r>
        <w:rPr>
          <w:rFonts w:cs="Times New Roman"/>
          <w:kern w:val="0"/>
          <w:szCs w:val="24"/>
          <w:lang w:val="zh-CN"/>
        </w:rPr>
        <w:t>规定的参考。</w:t>
      </w:r>
    </w:p>
    <w:p w14:paraId="722FB1A1">
      <w:pPr>
        <w:overflowPunct w:val="0"/>
        <w:topLinePunct/>
        <w:spacing w:before="156"/>
        <w:ind w:firstLine="480"/>
        <w:rPr>
          <w:rFonts w:cs="Times New Roman"/>
          <w:szCs w:val="24"/>
          <w:lang w:val="zh-CN"/>
        </w:rPr>
      </w:pPr>
    </w:p>
    <w:p w14:paraId="0EFFD02A">
      <w:pPr>
        <w:spacing w:before="156" w:beforeLines="0"/>
        <w:ind w:firstLine="480"/>
      </w:pPr>
    </w:p>
    <w:p w14:paraId="48B86719">
      <w:pPr>
        <w:spacing w:before="156" w:beforeLines="0"/>
        <w:ind w:firstLine="480"/>
      </w:pPr>
    </w:p>
    <w:p w14:paraId="292D2E21">
      <w:pPr>
        <w:spacing w:before="156" w:beforeLines="0"/>
        <w:ind w:firstLine="480"/>
      </w:pPr>
    </w:p>
    <w:p w14:paraId="0C0727F1">
      <w:pPr>
        <w:spacing w:before="156" w:beforeLines="0"/>
        <w:ind w:firstLine="480"/>
      </w:pPr>
    </w:p>
    <w:p w14:paraId="5461ABE6">
      <w:pPr>
        <w:spacing w:before="156" w:beforeLines="0"/>
        <w:ind w:firstLine="480"/>
      </w:pPr>
    </w:p>
    <w:p w14:paraId="01AAA333">
      <w:pPr>
        <w:spacing w:before="156" w:beforeLines="0"/>
        <w:ind w:firstLine="480"/>
      </w:pPr>
    </w:p>
    <w:p w14:paraId="21D7BC05">
      <w:pPr>
        <w:spacing w:before="156" w:beforeLines="0"/>
        <w:ind w:firstLine="480"/>
      </w:pPr>
    </w:p>
    <w:p w14:paraId="124940DE">
      <w:pPr>
        <w:spacing w:before="156" w:beforeLines="0"/>
        <w:ind w:firstLine="480"/>
      </w:pPr>
    </w:p>
    <w:p w14:paraId="51089AF5">
      <w:pPr>
        <w:spacing w:before="156" w:beforeLines="0"/>
        <w:ind w:firstLine="480"/>
      </w:pPr>
    </w:p>
    <w:p w14:paraId="2D0C7D58">
      <w:pPr>
        <w:spacing w:before="156" w:beforeLines="0"/>
        <w:ind w:firstLine="480"/>
      </w:pPr>
    </w:p>
    <w:p w14:paraId="54A11A39">
      <w:pPr>
        <w:spacing w:before="156" w:beforeLines="0"/>
        <w:ind w:firstLine="480"/>
      </w:pPr>
    </w:p>
    <w:p w14:paraId="243D119B">
      <w:pPr>
        <w:spacing w:before="156" w:beforeLines="0"/>
        <w:ind w:firstLine="480"/>
      </w:pPr>
    </w:p>
    <w:p w14:paraId="0AA91008">
      <w:pPr>
        <w:spacing w:before="156" w:beforeLines="0"/>
        <w:ind w:firstLine="480"/>
      </w:pPr>
    </w:p>
    <w:p w14:paraId="6DEFAADF">
      <w:pPr>
        <w:spacing w:before="156" w:beforeLines="0"/>
        <w:ind w:firstLine="480"/>
      </w:pPr>
    </w:p>
    <w:p w14:paraId="59452016">
      <w:pPr>
        <w:spacing w:before="156" w:beforeLines="0"/>
        <w:ind w:firstLine="480"/>
      </w:pPr>
    </w:p>
    <w:p w14:paraId="58C8DC9F">
      <w:pPr>
        <w:spacing w:before="156" w:beforeLines="0"/>
        <w:ind w:firstLine="480"/>
      </w:pPr>
    </w:p>
    <w:sdt>
      <w:sdtPr>
        <w:rPr>
          <w:rFonts w:ascii="Times New Roman" w:hAnsi="Times New Roman" w:eastAsia="宋体" w:cstheme="minorBidi"/>
          <w:color w:val="auto"/>
          <w:kern w:val="2"/>
          <w:sz w:val="24"/>
          <w:szCs w:val="22"/>
          <w:lang w:val="zh-CN"/>
        </w:rPr>
        <w:id w:val="-1865514683"/>
        <w:docPartObj>
          <w:docPartGallery w:val="Table of Contents"/>
          <w:docPartUnique/>
        </w:docPartObj>
      </w:sdtPr>
      <w:sdtEndPr>
        <w:rPr>
          <w:rFonts w:ascii="Times New Roman" w:hAnsi="Times New Roman" w:eastAsia="宋体" w:cstheme="minorBidi"/>
          <w:b/>
          <w:bCs/>
          <w:color w:val="auto"/>
          <w:kern w:val="2"/>
          <w:sz w:val="24"/>
          <w:szCs w:val="22"/>
          <w:lang w:val="zh-CN"/>
        </w:rPr>
      </w:sdtEndPr>
      <w:sdtContent>
        <w:p w14:paraId="4CA4F56F">
          <w:pPr>
            <w:pStyle w:val="52"/>
            <w:spacing w:before="156"/>
            <w:ind w:firstLine="480"/>
          </w:pPr>
          <w:r>
            <w:rPr>
              <w:lang w:val="zh-CN"/>
            </w:rPr>
            <w:t>目录</w:t>
          </w:r>
        </w:p>
        <w:p w14:paraId="7E5E614A">
          <w:pPr>
            <w:pStyle w:val="22"/>
            <w:tabs>
              <w:tab w:val="right" w:leader="dot" w:pos="8296"/>
            </w:tabs>
            <w:spacing w:before="156"/>
            <w:ind w:firstLine="480"/>
            <w:rPr>
              <w:rFonts w:asciiTheme="minorHAnsi" w:hAnsiTheme="minorHAnsi" w:eastAsiaTheme="minorEastAsia"/>
              <w:sz w:val="21"/>
            </w:rPr>
          </w:pPr>
          <w:r>
            <w:fldChar w:fldCharType="begin"/>
          </w:r>
          <w:r>
            <w:instrText xml:space="preserve"> TOC \o "1-3" \h \z \u </w:instrText>
          </w:r>
          <w:r>
            <w:fldChar w:fldCharType="separate"/>
          </w:r>
          <w:r>
            <w:fldChar w:fldCharType="begin"/>
          </w:r>
          <w:r>
            <w:instrText xml:space="preserve"> HYPERLINK \l "_Toc207010474" </w:instrText>
          </w:r>
          <w:r>
            <w:fldChar w:fldCharType="separate"/>
          </w:r>
          <w:r>
            <w:rPr>
              <w:rStyle w:val="36"/>
              <w:rFonts w:cs="Times New Roman"/>
            </w:rPr>
            <w:t>条文说明</w:t>
          </w:r>
          <w:r>
            <w:tab/>
          </w:r>
          <w:r>
            <w:fldChar w:fldCharType="begin"/>
          </w:r>
          <w:r>
            <w:instrText xml:space="preserve"> PAGEREF _Toc207010474 \h </w:instrText>
          </w:r>
          <w:r>
            <w:fldChar w:fldCharType="separate"/>
          </w:r>
          <w:r>
            <w:t>47</w:t>
          </w:r>
          <w:r>
            <w:fldChar w:fldCharType="end"/>
          </w:r>
          <w:r>
            <w:fldChar w:fldCharType="end"/>
          </w:r>
        </w:p>
        <w:p w14:paraId="05C74075">
          <w:pPr>
            <w:pStyle w:val="26"/>
            <w:tabs>
              <w:tab w:val="right" w:leader="dot" w:pos="8296"/>
            </w:tabs>
            <w:spacing w:before="156"/>
            <w:ind w:left="480" w:firstLine="480"/>
            <w:rPr>
              <w:rFonts w:asciiTheme="minorHAnsi" w:hAnsiTheme="minorHAnsi" w:eastAsiaTheme="minorEastAsia"/>
              <w:sz w:val="21"/>
            </w:rPr>
          </w:pPr>
          <w:r>
            <w:fldChar w:fldCharType="begin"/>
          </w:r>
          <w:r>
            <w:instrText xml:space="preserve"> HYPERLINK \l "_Toc207010475" </w:instrText>
          </w:r>
          <w:r>
            <w:fldChar w:fldCharType="separate"/>
          </w:r>
          <w:r>
            <w:rPr>
              <w:rStyle w:val="36"/>
            </w:rPr>
            <w:t>1 总则</w:t>
          </w:r>
          <w:r>
            <w:tab/>
          </w:r>
          <w:r>
            <w:fldChar w:fldCharType="begin"/>
          </w:r>
          <w:r>
            <w:instrText xml:space="preserve"> PAGEREF _Toc207010475 \h </w:instrText>
          </w:r>
          <w:r>
            <w:fldChar w:fldCharType="separate"/>
          </w:r>
          <w:r>
            <w:t>50</w:t>
          </w:r>
          <w:r>
            <w:fldChar w:fldCharType="end"/>
          </w:r>
          <w:r>
            <w:fldChar w:fldCharType="end"/>
          </w:r>
        </w:p>
        <w:p w14:paraId="4800839F">
          <w:pPr>
            <w:pStyle w:val="26"/>
            <w:tabs>
              <w:tab w:val="right" w:leader="dot" w:pos="8296"/>
            </w:tabs>
            <w:spacing w:before="156"/>
            <w:ind w:left="480" w:firstLine="480"/>
            <w:rPr>
              <w:rFonts w:asciiTheme="minorHAnsi" w:hAnsiTheme="minorHAnsi" w:eastAsiaTheme="minorEastAsia"/>
              <w:sz w:val="21"/>
            </w:rPr>
          </w:pPr>
          <w:r>
            <w:fldChar w:fldCharType="begin"/>
          </w:r>
          <w:r>
            <w:instrText xml:space="preserve"> HYPERLINK \l "_Toc207010476" </w:instrText>
          </w:r>
          <w:r>
            <w:fldChar w:fldCharType="separate"/>
          </w:r>
          <w:r>
            <w:rPr>
              <w:rStyle w:val="36"/>
            </w:rPr>
            <w:t>2术语和符号</w:t>
          </w:r>
          <w:r>
            <w:tab/>
          </w:r>
          <w:r>
            <w:fldChar w:fldCharType="begin"/>
          </w:r>
          <w:r>
            <w:instrText xml:space="preserve"> PAGEREF _Toc207010476 \h </w:instrText>
          </w:r>
          <w:r>
            <w:fldChar w:fldCharType="separate"/>
          </w:r>
          <w:r>
            <w:t>52</w:t>
          </w:r>
          <w:r>
            <w:fldChar w:fldCharType="end"/>
          </w:r>
          <w:r>
            <w:fldChar w:fldCharType="end"/>
          </w:r>
        </w:p>
        <w:p w14:paraId="56C650AA">
          <w:pPr>
            <w:pStyle w:val="16"/>
            <w:tabs>
              <w:tab w:val="right" w:leader="dot" w:pos="8296"/>
            </w:tabs>
            <w:spacing w:before="156"/>
            <w:ind w:left="960" w:firstLine="480"/>
            <w:rPr>
              <w:rFonts w:asciiTheme="minorHAnsi" w:hAnsiTheme="minorHAnsi" w:eastAsiaTheme="minorEastAsia"/>
              <w:sz w:val="21"/>
            </w:rPr>
          </w:pPr>
          <w:r>
            <w:fldChar w:fldCharType="begin"/>
          </w:r>
          <w:r>
            <w:instrText xml:space="preserve"> HYPERLINK \l "_Toc207010477" </w:instrText>
          </w:r>
          <w:r>
            <w:fldChar w:fldCharType="separate"/>
          </w:r>
          <w:r>
            <w:rPr>
              <w:rStyle w:val="36"/>
            </w:rPr>
            <w:t>2.1 术语</w:t>
          </w:r>
          <w:r>
            <w:tab/>
          </w:r>
          <w:r>
            <w:fldChar w:fldCharType="begin"/>
          </w:r>
          <w:r>
            <w:instrText xml:space="preserve"> PAGEREF _Toc207010477 \h </w:instrText>
          </w:r>
          <w:r>
            <w:fldChar w:fldCharType="separate"/>
          </w:r>
          <w:r>
            <w:t>52</w:t>
          </w:r>
          <w:r>
            <w:fldChar w:fldCharType="end"/>
          </w:r>
          <w:r>
            <w:fldChar w:fldCharType="end"/>
          </w:r>
        </w:p>
        <w:p w14:paraId="111164CD">
          <w:pPr>
            <w:pStyle w:val="16"/>
            <w:tabs>
              <w:tab w:val="right" w:leader="dot" w:pos="8296"/>
            </w:tabs>
            <w:spacing w:before="156"/>
            <w:ind w:left="960" w:firstLine="480"/>
            <w:rPr>
              <w:rFonts w:asciiTheme="minorHAnsi" w:hAnsiTheme="minorHAnsi" w:eastAsiaTheme="minorEastAsia"/>
              <w:sz w:val="21"/>
            </w:rPr>
          </w:pPr>
          <w:r>
            <w:fldChar w:fldCharType="begin"/>
          </w:r>
          <w:r>
            <w:instrText xml:space="preserve"> HYPERLINK \l "_Toc207010478" </w:instrText>
          </w:r>
          <w:r>
            <w:fldChar w:fldCharType="separate"/>
          </w:r>
          <w:r>
            <w:rPr>
              <w:rStyle w:val="36"/>
            </w:rPr>
            <w:t>2.2　符号</w:t>
          </w:r>
          <w:r>
            <w:tab/>
          </w:r>
          <w:r>
            <w:fldChar w:fldCharType="begin"/>
          </w:r>
          <w:r>
            <w:instrText xml:space="preserve"> PAGEREF _Toc207010478 \h </w:instrText>
          </w:r>
          <w:r>
            <w:fldChar w:fldCharType="separate"/>
          </w:r>
          <w:r>
            <w:t>52</w:t>
          </w:r>
          <w:r>
            <w:fldChar w:fldCharType="end"/>
          </w:r>
          <w:r>
            <w:fldChar w:fldCharType="end"/>
          </w:r>
        </w:p>
        <w:p w14:paraId="6354B42F">
          <w:pPr>
            <w:pStyle w:val="26"/>
            <w:tabs>
              <w:tab w:val="right" w:leader="dot" w:pos="8296"/>
            </w:tabs>
            <w:spacing w:before="156"/>
            <w:ind w:left="480" w:firstLine="480"/>
            <w:rPr>
              <w:rFonts w:asciiTheme="minorHAnsi" w:hAnsiTheme="minorHAnsi" w:eastAsiaTheme="minorEastAsia"/>
              <w:sz w:val="21"/>
            </w:rPr>
          </w:pPr>
          <w:r>
            <w:fldChar w:fldCharType="begin"/>
          </w:r>
          <w:r>
            <w:instrText xml:space="preserve"> HYPERLINK \l "_Toc207010479" </w:instrText>
          </w:r>
          <w:r>
            <w:fldChar w:fldCharType="separate"/>
          </w:r>
          <w:r>
            <w:rPr>
              <w:rStyle w:val="36"/>
            </w:rPr>
            <w:t>3 基本规定</w:t>
          </w:r>
          <w:r>
            <w:tab/>
          </w:r>
          <w:r>
            <w:fldChar w:fldCharType="begin"/>
          </w:r>
          <w:r>
            <w:instrText xml:space="preserve"> PAGEREF _Toc207010479 \h </w:instrText>
          </w:r>
          <w:r>
            <w:fldChar w:fldCharType="separate"/>
          </w:r>
          <w:r>
            <w:t>53</w:t>
          </w:r>
          <w:r>
            <w:fldChar w:fldCharType="end"/>
          </w:r>
          <w:r>
            <w:fldChar w:fldCharType="end"/>
          </w:r>
        </w:p>
        <w:p w14:paraId="43915341">
          <w:pPr>
            <w:pStyle w:val="16"/>
            <w:tabs>
              <w:tab w:val="right" w:leader="dot" w:pos="8296"/>
            </w:tabs>
            <w:spacing w:before="156"/>
            <w:ind w:left="960" w:firstLine="480"/>
            <w:rPr>
              <w:rFonts w:asciiTheme="minorHAnsi" w:hAnsiTheme="minorHAnsi" w:eastAsiaTheme="minorEastAsia"/>
              <w:sz w:val="21"/>
            </w:rPr>
          </w:pPr>
          <w:r>
            <w:fldChar w:fldCharType="begin"/>
          </w:r>
          <w:r>
            <w:instrText xml:space="preserve"> HYPERLINK \l "_Toc207010480" </w:instrText>
          </w:r>
          <w:r>
            <w:fldChar w:fldCharType="separate"/>
          </w:r>
          <w:r>
            <w:rPr>
              <w:rStyle w:val="36"/>
            </w:rPr>
            <w:t>3.1一般要求</w:t>
          </w:r>
          <w:r>
            <w:tab/>
          </w:r>
          <w:r>
            <w:fldChar w:fldCharType="begin"/>
          </w:r>
          <w:r>
            <w:instrText xml:space="preserve"> PAGEREF _Toc207010480 \h </w:instrText>
          </w:r>
          <w:r>
            <w:fldChar w:fldCharType="separate"/>
          </w:r>
          <w:r>
            <w:t>53</w:t>
          </w:r>
          <w:r>
            <w:fldChar w:fldCharType="end"/>
          </w:r>
          <w:r>
            <w:fldChar w:fldCharType="end"/>
          </w:r>
        </w:p>
        <w:p w14:paraId="3933B8D5">
          <w:pPr>
            <w:pStyle w:val="16"/>
            <w:tabs>
              <w:tab w:val="right" w:leader="dot" w:pos="8296"/>
            </w:tabs>
            <w:spacing w:before="156"/>
            <w:ind w:left="960" w:firstLine="480"/>
            <w:rPr>
              <w:rFonts w:asciiTheme="minorHAnsi" w:hAnsiTheme="minorHAnsi" w:eastAsiaTheme="minorEastAsia"/>
              <w:sz w:val="21"/>
            </w:rPr>
          </w:pPr>
          <w:r>
            <w:fldChar w:fldCharType="begin"/>
          </w:r>
          <w:r>
            <w:instrText xml:space="preserve"> HYPERLINK \l "_Toc207010481" </w:instrText>
          </w:r>
          <w:r>
            <w:fldChar w:fldCharType="separate"/>
          </w:r>
          <w:r>
            <w:rPr>
              <w:rStyle w:val="36"/>
            </w:rPr>
            <w:t>3.2 地基与基础设计原则</w:t>
          </w:r>
          <w:r>
            <w:tab/>
          </w:r>
          <w:r>
            <w:fldChar w:fldCharType="begin"/>
          </w:r>
          <w:r>
            <w:instrText xml:space="preserve"> PAGEREF _Toc207010481 \h </w:instrText>
          </w:r>
          <w:r>
            <w:fldChar w:fldCharType="separate"/>
          </w:r>
          <w:r>
            <w:t>56</w:t>
          </w:r>
          <w:r>
            <w:fldChar w:fldCharType="end"/>
          </w:r>
          <w:r>
            <w:fldChar w:fldCharType="end"/>
          </w:r>
        </w:p>
        <w:p w14:paraId="1046A384">
          <w:pPr>
            <w:pStyle w:val="16"/>
            <w:tabs>
              <w:tab w:val="right" w:leader="dot" w:pos="8296"/>
            </w:tabs>
            <w:spacing w:before="156"/>
            <w:ind w:left="960" w:firstLine="480"/>
            <w:rPr>
              <w:rFonts w:asciiTheme="minorHAnsi" w:hAnsiTheme="minorHAnsi" w:eastAsiaTheme="minorEastAsia"/>
              <w:sz w:val="21"/>
            </w:rPr>
          </w:pPr>
          <w:r>
            <w:fldChar w:fldCharType="begin"/>
          </w:r>
          <w:r>
            <w:instrText xml:space="preserve"> HYPERLINK \l "_Toc207010482" </w:instrText>
          </w:r>
          <w:r>
            <w:fldChar w:fldCharType="separate"/>
          </w:r>
          <w:r>
            <w:rPr>
              <w:rStyle w:val="36"/>
            </w:rPr>
            <w:t>3.3 基础材料</w:t>
          </w:r>
          <w:r>
            <w:tab/>
          </w:r>
          <w:r>
            <w:fldChar w:fldCharType="begin"/>
          </w:r>
          <w:r>
            <w:instrText xml:space="preserve"> PAGEREF _Toc207010482 \h </w:instrText>
          </w:r>
          <w:r>
            <w:fldChar w:fldCharType="separate"/>
          </w:r>
          <w:r>
            <w:t>57</w:t>
          </w:r>
          <w:r>
            <w:fldChar w:fldCharType="end"/>
          </w:r>
          <w:r>
            <w:fldChar w:fldCharType="end"/>
          </w:r>
        </w:p>
        <w:p w14:paraId="00FBB428">
          <w:pPr>
            <w:pStyle w:val="16"/>
            <w:tabs>
              <w:tab w:val="right" w:leader="dot" w:pos="8296"/>
            </w:tabs>
            <w:spacing w:before="156"/>
            <w:ind w:left="960" w:firstLine="480"/>
            <w:rPr>
              <w:rFonts w:asciiTheme="minorHAnsi" w:hAnsiTheme="minorHAnsi" w:eastAsiaTheme="minorEastAsia"/>
              <w:sz w:val="21"/>
            </w:rPr>
          </w:pPr>
          <w:r>
            <w:fldChar w:fldCharType="begin"/>
          </w:r>
          <w:r>
            <w:instrText xml:space="preserve"> HYPERLINK \l "_Toc207010483" </w:instrText>
          </w:r>
          <w:r>
            <w:fldChar w:fldCharType="separate"/>
          </w:r>
          <w:r>
            <w:rPr>
              <w:rStyle w:val="36"/>
            </w:rPr>
            <w:t>3.4 基础方案</w:t>
          </w:r>
          <w:r>
            <w:tab/>
          </w:r>
          <w:r>
            <w:fldChar w:fldCharType="begin"/>
          </w:r>
          <w:r>
            <w:instrText xml:space="preserve"> PAGEREF _Toc207010483 \h </w:instrText>
          </w:r>
          <w:r>
            <w:fldChar w:fldCharType="separate"/>
          </w:r>
          <w:r>
            <w:t>57</w:t>
          </w:r>
          <w:r>
            <w:fldChar w:fldCharType="end"/>
          </w:r>
          <w:r>
            <w:fldChar w:fldCharType="end"/>
          </w:r>
        </w:p>
        <w:p w14:paraId="533B14A8">
          <w:pPr>
            <w:pStyle w:val="16"/>
            <w:tabs>
              <w:tab w:val="right" w:leader="dot" w:pos="8296"/>
            </w:tabs>
            <w:spacing w:before="156"/>
            <w:ind w:left="960" w:firstLine="480"/>
            <w:rPr>
              <w:rFonts w:asciiTheme="minorHAnsi" w:hAnsiTheme="minorHAnsi" w:eastAsiaTheme="minorEastAsia"/>
              <w:sz w:val="21"/>
            </w:rPr>
          </w:pPr>
          <w:r>
            <w:fldChar w:fldCharType="begin"/>
          </w:r>
          <w:r>
            <w:instrText xml:space="preserve"> HYPERLINK \l "_Toc207010484" </w:instrText>
          </w:r>
          <w:r>
            <w:fldChar w:fldCharType="separate"/>
          </w:r>
          <w:r>
            <w:rPr>
              <w:rStyle w:val="36"/>
            </w:rPr>
            <w:t>3.5 容许振动标准</w:t>
          </w:r>
          <w:r>
            <w:tab/>
          </w:r>
          <w:r>
            <w:fldChar w:fldCharType="begin"/>
          </w:r>
          <w:r>
            <w:instrText xml:space="preserve"> PAGEREF _Toc207010484 \h </w:instrText>
          </w:r>
          <w:r>
            <w:fldChar w:fldCharType="separate"/>
          </w:r>
          <w:r>
            <w:t>58</w:t>
          </w:r>
          <w:r>
            <w:fldChar w:fldCharType="end"/>
          </w:r>
          <w:r>
            <w:fldChar w:fldCharType="end"/>
          </w:r>
        </w:p>
        <w:p w14:paraId="6F68798E">
          <w:pPr>
            <w:spacing w:before="156"/>
            <w:ind w:firstLine="482"/>
          </w:pPr>
          <w:r>
            <w:rPr>
              <w:b/>
              <w:bCs/>
              <w:lang w:val="zh-CN"/>
            </w:rPr>
            <w:fldChar w:fldCharType="end"/>
          </w:r>
        </w:p>
      </w:sdtContent>
    </w:sdt>
    <w:p w14:paraId="64224C55">
      <w:pPr>
        <w:spacing w:before="156" w:beforeLines="0"/>
        <w:ind w:firstLine="480"/>
      </w:pPr>
    </w:p>
    <w:p w14:paraId="686BF09F">
      <w:pPr>
        <w:pStyle w:val="3"/>
      </w:pPr>
      <w:bookmarkStart w:id="26" w:name="_Toc207010475"/>
      <w:bookmarkStart w:id="27" w:name="_Toc206578559"/>
      <w:r>
        <w:rPr>
          <w:rFonts w:hint="eastAsia"/>
        </w:rPr>
        <w:t>1</w:t>
      </w:r>
      <w:r>
        <w:t xml:space="preserve"> </w:t>
      </w:r>
      <w:r>
        <w:rPr>
          <w:rFonts w:hint="eastAsia"/>
        </w:rPr>
        <w:t>总则</w:t>
      </w:r>
      <w:bookmarkEnd w:id="26"/>
      <w:bookmarkEnd w:id="27"/>
    </w:p>
    <w:p w14:paraId="3B7CC604">
      <w:pPr>
        <w:spacing w:beforeLines="0"/>
        <w:ind w:firstLine="480"/>
      </w:pPr>
      <w:r>
        <w:rPr>
          <w:rFonts w:hint="eastAsia"/>
        </w:rPr>
        <w:t>1</w:t>
      </w:r>
      <w:r>
        <w:t>.0.1</w:t>
      </w:r>
      <w:r>
        <w:rPr>
          <w:rFonts w:hint="eastAsia"/>
        </w:rPr>
        <w:t>本条阐明了制定本标准的核心目的和基本原则。</w:t>
      </w:r>
    </w:p>
    <w:p w14:paraId="78862AB2">
      <w:pPr>
        <w:spacing w:beforeLines="0"/>
        <w:ind w:firstLine="480"/>
      </w:pPr>
      <w:r>
        <w:rPr>
          <w:rFonts w:hint="eastAsia"/>
        </w:rPr>
        <w:t>1.</w:t>
      </w:r>
      <w:r>
        <w:t xml:space="preserve"> </w:t>
      </w:r>
      <w:r>
        <w:rPr>
          <w:rFonts w:hint="eastAsia"/>
        </w:rPr>
        <w:t>目的性：制定本标准的首要目的是“规范锻锤基础设计的技术要求”，为这一特定领域的设计活动提供统一、权威的技术依据，结束以往可能存在的做法不一、依据混乱的局面。</w:t>
      </w:r>
    </w:p>
    <w:p w14:paraId="4E20DDC8">
      <w:pPr>
        <w:spacing w:beforeLines="0"/>
        <w:ind w:firstLine="480"/>
      </w:pPr>
      <w:r>
        <w:rPr>
          <w:rFonts w:hint="eastAsia"/>
        </w:rPr>
        <w:t>2. 政策性：标准编制需“贯彻国家技术经济政策”，意味着在技术要求中需体现节约资源、保护环境、技术先进、经济合理等国家宏观政策导向。</w:t>
      </w:r>
    </w:p>
    <w:p w14:paraId="5DE929E1">
      <w:pPr>
        <w:spacing w:beforeLines="0"/>
        <w:ind w:firstLine="480"/>
      </w:pPr>
      <w:r>
        <w:rPr>
          <w:rFonts w:hint="eastAsia"/>
        </w:rPr>
        <w:t>3. 核心目标： 标准追求的最终目标是多方面的：</w:t>
      </w:r>
    </w:p>
    <w:p w14:paraId="54F88FFA">
      <w:pPr>
        <w:spacing w:beforeLines="0"/>
        <w:ind w:firstLine="480"/>
      </w:pPr>
      <w:r>
        <w:rPr>
          <w:rFonts w:hint="eastAsia"/>
        </w:rPr>
        <w:t>安全可靠： 确保锻锤基础本身及其影响范围内的建筑、设备、人员的安全，是设计的首要前提。</w:t>
      </w:r>
    </w:p>
    <w:p w14:paraId="5EB85198">
      <w:pPr>
        <w:spacing w:beforeLines="0"/>
        <w:ind w:firstLine="480"/>
      </w:pPr>
      <w:r>
        <w:rPr>
          <w:rFonts w:hint="eastAsia"/>
        </w:rPr>
        <w:t>功能适用： 基础设计必须满足锻锤设备正常、高效运行所需的精度、稳定性等工艺要求。</w:t>
      </w:r>
    </w:p>
    <w:p w14:paraId="601F2403">
      <w:pPr>
        <w:spacing w:beforeLines="0"/>
        <w:ind w:firstLine="480"/>
      </w:pPr>
      <w:r>
        <w:rPr>
          <w:rFonts w:hint="eastAsia"/>
        </w:rPr>
        <w:t>经济合理： 在满足安全和功能的前提下，设计方案应进行技术经济比较，优化投资，避免不必要的浪费。</w:t>
      </w:r>
    </w:p>
    <w:p w14:paraId="25B5613B">
      <w:pPr>
        <w:spacing w:beforeLines="0"/>
        <w:ind w:firstLine="480"/>
      </w:pPr>
      <w:r>
        <w:rPr>
          <w:rFonts w:hint="eastAsia"/>
        </w:rPr>
        <w:t>生产与环保需求： 设计需保障生产的连续性和稳定性，同时必须控制振动和噪声对周边环境的影响，满足日益严格的环保要求。</w:t>
      </w:r>
    </w:p>
    <w:p w14:paraId="62AB907A">
      <w:pPr>
        <w:spacing w:beforeLines="0"/>
        <w:ind w:firstLine="480"/>
      </w:pPr>
      <w:r>
        <w:rPr>
          <w:rFonts w:hint="eastAsia"/>
        </w:rPr>
        <w:t>1.0.2 本条明确了本标准的适用范围。</w:t>
      </w:r>
    </w:p>
    <w:p w14:paraId="2943E01B">
      <w:pPr>
        <w:spacing w:beforeLines="0"/>
        <w:ind w:firstLine="480"/>
      </w:pPr>
      <w:r>
        <w:rPr>
          <w:rFonts w:hint="eastAsia"/>
        </w:rPr>
        <w:t>1.</w:t>
      </w:r>
      <w:r>
        <w:t xml:space="preserve"> </w:t>
      </w:r>
      <w:r>
        <w:rPr>
          <w:rFonts w:hint="eastAsia"/>
        </w:rPr>
        <w:t>适用对象： 本标准适用于各类锻锤设备的基础设计，明确涵盖了“隔振基础”与“非隔振基础”两种主要技术路线。这体现了标准对不同减振需求场景的全面覆盖。</w:t>
      </w:r>
    </w:p>
    <w:p w14:paraId="2BF946B3">
      <w:pPr>
        <w:spacing w:beforeLines="0"/>
        <w:ind w:firstLine="480"/>
      </w:pPr>
      <w:r>
        <w:rPr>
          <w:rFonts w:hint="eastAsia"/>
        </w:rPr>
        <w:t>2. 技术体系区分： 编制说明进一步解释了两种基础类型对应的动力体系：</w:t>
      </w:r>
    </w:p>
    <w:p w14:paraId="151A012B">
      <w:pPr>
        <w:spacing w:beforeLines="0"/>
        <w:ind w:firstLine="480"/>
      </w:pPr>
      <w:r>
        <w:rPr>
          <w:rFonts w:hint="eastAsia"/>
        </w:rPr>
        <w:t>隔振基础（柔性体系）： 通过设置隔振装置，主动降低传递到基础和地基的动荷载，主要用于对振动控制要求高的场合。</w:t>
      </w:r>
    </w:p>
    <w:p w14:paraId="21AB94AE">
      <w:pPr>
        <w:spacing w:beforeLines="0"/>
        <w:ind w:firstLine="480"/>
      </w:pPr>
      <w:r>
        <w:rPr>
          <w:rFonts w:hint="eastAsia"/>
        </w:rPr>
        <w:t>非隔振基础（刚性体系）： 依靠基础自身的质量、刚度和阻尼来承受和耗散动荷载，结构相对简单。</w:t>
      </w:r>
    </w:p>
    <w:p w14:paraId="4E73AAAE">
      <w:pPr>
        <w:spacing w:beforeLines="0"/>
        <w:ind w:firstLine="480"/>
      </w:pPr>
      <w:r>
        <w:rPr>
          <w:rFonts w:hint="eastAsia"/>
        </w:rPr>
        <w:t>3. 设备类型涵盖： 标准适用的锻锤设备范围广泛，包括传统的有砧座锤，如空气锤、模锻锤、自由锻锤等，对击式锤，如无砧座锤以及其他特殊类型的锻锤。指出不同设备的“打击作用会有差异，需要区别对待”，为后续章节中针对不同类型设备提出差异化设计要求做了铺垫。</w:t>
      </w:r>
    </w:p>
    <w:p w14:paraId="65BC92F2">
      <w:pPr>
        <w:spacing w:beforeLines="0"/>
        <w:ind w:firstLine="480"/>
      </w:pPr>
      <w:r>
        <w:rPr>
          <w:rFonts w:hint="eastAsia"/>
        </w:rPr>
        <w:t>1.0.3 本条规定了本标准与其他标准规范的关系。</w:t>
      </w:r>
    </w:p>
    <w:p w14:paraId="4ED71563">
      <w:pPr>
        <w:spacing w:beforeLines="0"/>
        <w:ind w:firstLine="480"/>
      </w:pPr>
      <w:r>
        <w:rPr>
          <w:rFonts w:hint="eastAsia"/>
        </w:rPr>
        <w:t>1. 优先性： 锻锤基础设计“应符合本标准规定”，表明本标准是直接针对锻锤基础设计的专用标准，在设计时应首先遵循。</w:t>
      </w:r>
    </w:p>
    <w:p w14:paraId="2C5C4C03">
      <w:pPr>
        <w:spacing w:beforeLines="0"/>
        <w:ind w:firstLine="480"/>
      </w:pPr>
      <w:r>
        <w:rPr>
          <w:rFonts w:hint="eastAsia"/>
        </w:rPr>
        <w:t>2. 协调性与完整性： 设计工作“尚应符合国家现行有关标准和现行中国工程建设标准化协会有关的规定”。这表明：</w:t>
      </w:r>
    </w:p>
    <w:p w14:paraId="6BDCC8C8">
      <w:pPr>
        <w:spacing w:beforeLines="0"/>
        <w:ind w:firstLine="480"/>
      </w:pPr>
      <w:r>
        <w:rPr>
          <w:rFonts w:hint="eastAsia"/>
        </w:rPr>
        <w:t>本标准是专业技术标准体系中的一部分，不能孤立使用。</w:t>
      </w:r>
    </w:p>
    <w:p w14:paraId="100F9B9E">
      <w:pPr>
        <w:spacing w:beforeLines="0"/>
        <w:ind w:firstLine="480"/>
      </w:pPr>
      <w:r>
        <w:rPr>
          <w:rFonts w:hint="eastAsia"/>
        </w:rPr>
        <w:t>锻锤基础设计必然涉及地基基础、混凝土结构、荷载、抗震、材料、施工验收等多个通用领域，必须同时满足这些领域的共性要求，如《建筑地基基础设计规范》GB 50007、《混凝土结构设计标准》GB 50010、《建筑抗震设计标准》GB 50011、《建筑结构荷载规范》GB 50009等。</w:t>
      </w:r>
    </w:p>
    <w:p w14:paraId="5C08C164">
      <w:pPr>
        <w:spacing w:before="156" w:beforeLines="0"/>
        <w:ind w:firstLine="480"/>
      </w:pPr>
      <w:r>
        <w:rPr>
          <w:rFonts w:hint="eastAsia"/>
        </w:rPr>
        <w:t>本条确保了标准应用的系统性和法律合规性，避免因执行本标准而与其他强制性标准条款产生冲突。</w:t>
      </w:r>
    </w:p>
    <w:p w14:paraId="75AABDD1">
      <w:pPr>
        <w:spacing w:before="156" w:beforeLines="0"/>
        <w:ind w:firstLine="480"/>
      </w:pPr>
    </w:p>
    <w:p w14:paraId="73681CCC">
      <w:pPr>
        <w:spacing w:before="156" w:beforeLines="0"/>
        <w:ind w:firstLine="480"/>
      </w:pPr>
    </w:p>
    <w:p w14:paraId="3B169493">
      <w:pPr>
        <w:pStyle w:val="3"/>
      </w:pPr>
      <w:bookmarkStart w:id="28" w:name="_Toc206578560"/>
      <w:bookmarkStart w:id="29" w:name="_Toc207010476"/>
      <w:r>
        <w:rPr>
          <w:rFonts w:hint="eastAsia"/>
        </w:rPr>
        <w:t>2术语和符号</w:t>
      </w:r>
      <w:bookmarkEnd w:id="28"/>
      <w:bookmarkEnd w:id="29"/>
    </w:p>
    <w:p w14:paraId="6C4E9A13">
      <w:pPr>
        <w:pStyle w:val="4"/>
        <w:spacing w:before="156"/>
      </w:pPr>
      <w:bookmarkStart w:id="30" w:name="_Toc206578561"/>
      <w:bookmarkStart w:id="31" w:name="_Toc207010477"/>
      <w:r>
        <w:rPr>
          <w:rFonts w:hint="eastAsia"/>
        </w:rPr>
        <w:t>2</w:t>
      </w:r>
      <w:r>
        <w:t xml:space="preserve">.1 </w:t>
      </w:r>
      <w:r>
        <w:rPr>
          <w:rFonts w:hint="eastAsia"/>
        </w:rPr>
        <w:t>术语</w:t>
      </w:r>
      <w:bookmarkEnd w:id="30"/>
      <w:bookmarkEnd w:id="31"/>
    </w:p>
    <w:p w14:paraId="7B3A7355">
      <w:pPr>
        <w:overflowPunct w:val="0"/>
        <w:topLinePunct/>
        <w:spacing w:before="156" w:after="156" w:afterLines="50" w:line="312" w:lineRule="auto"/>
        <w:ind w:firstLine="482"/>
        <w:rPr>
          <w:rFonts w:cs="Times New Roman"/>
          <w:szCs w:val="24"/>
        </w:rPr>
      </w:pPr>
      <w:r>
        <w:rPr>
          <w:rFonts w:cs="Times New Roman"/>
          <w:b/>
          <w:szCs w:val="24"/>
        </w:rPr>
        <w:t>2.1.1~2.1.12</w:t>
      </w:r>
      <w:r>
        <w:rPr>
          <w:rFonts w:cs="Times New Roman"/>
          <w:szCs w:val="24"/>
        </w:rPr>
        <w:t>　本节所列的术语均按照现行国家标准《工程振动术语和符号标准》GB/T 51306、《工程结构设计基本术语标准》GB/T 50083和《动力机器基础设计标准》GB 50040等的有关规定，并结合压力机基础设计中的专用名词编写。</w:t>
      </w:r>
    </w:p>
    <w:p w14:paraId="37FA56B7">
      <w:pPr>
        <w:spacing w:before="156"/>
        <w:ind w:firstLine="480"/>
      </w:pPr>
      <w:r>
        <w:rPr>
          <w:rFonts w:hint="eastAsia"/>
        </w:rPr>
        <w:t>其中，2.1.3条中，锻锤落下部分质量也称“锤头质量”，本标准中统一采用符号</w:t>
      </w:r>
      <m:oMath>
        <m:sSub>
          <m:sSubPr>
            <m:ctrlPr>
              <w:rPr>
                <w:rFonts w:ascii="Cambria Math" w:hAnsi="Cambria Math"/>
              </w:rPr>
            </m:ctrlPr>
          </m:sSubPr>
          <m:e>
            <m:r>
              <m:rPr>
                <m:sty m:val="p"/>
              </m:rPr>
              <w:rPr>
                <w:rFonts w:ascii="Cambria Math" w:hAnsi="Cambria Math"/>
              </w:rPr>
              <m:t>m</m:t>
            </m:r>
            <m:ctrlPr>
              <w:rPr>
                <w:rFonts w:ascii="Cambria Math" w:hAnsi="Cambria Math"/>
              </w:rPr>
            </m:ctrlPr>
          </m:e>
          <m:sub>
            <m:r>
              <m:rPr/>
              <w:rPr>
                <w:rFonts w:hint="eastAsia" w:ascii="Cambria Math" w:hAnsi="Cambria Math"/>
              </w:rPr>
              <m:t>0</m:t>
            </m:r>
            <m:ctrlPr>
              <w:rPr>
                <w:rFonts w:ascii="Cambria Math" w:hAnsi="Cambria Math"/>
              </w:rPr>
            </m:ctrlPr>
          </m:sub>
        </m:sSub>
      </m:oMath>
      <w:r>
        <w:rPr>
          <w:rFonts w:hint="eastAsia"/>
        </w:rPr>
        <w:t>，下落部分质量的计算范围包括：</w:t>
      </w:r>
    </w:p>
    <w:p w14:paraId="19DD88BE">
      <w:pPr>
        <w:spacing w:before="156"/>
        <w:ind w:firstLine="480"/>
      </w:pPr>
      <w:r>
        <w:rPr>
          <w:rFonts w:hint="eastAsia"/>
        </w:rPr>
        <w:t>（1）对于自由落锤（单作用锤），锤头质量仅含锤头自重；</w:t>
      </w:r>
    </w:p>
    <w:p w14:paraId="62D3A7D4">
      <w:pPr>
        <w:spacing w:before="156"/>
        <w:ind w:firstLine="480"/>
      </w:pPr>
      <w:r>
        <w:rPr>
          <w:rFonts w:hint="eastAsia"/>
        </w:rPr>
        <w:t>（2）对于双作用锤（如气动锤、液压锤），应包括锤头、锤杆及驱动活塞的联动质量。</w:t>
      </w:r>
    </w:p>
    <w:p w14:paraId="6CDA62CE">
      <w:pPr>
        <w:spacing w:before="156"/>
        <w:ind w:firstLine="480"/>
      </w:pPr>
      <w:r>
        <w:rPr>
          <w:rFonts w:hint="eastAsia"/>
        </w:rPr>
        <w:t>锤头质量应由设备制造商提供实测值；无实测数据时，考虑制造公差及附件重量，可按公称质量乘以1.05~1.10的系数修正。</w:t>
      </w:r>
    </w:p>
    <w:p w14:paraId="0C67806A">
      <w:pPr>
        <w:pStyle w:val="4"/>
        <w:spacing w:before="156"/>
      </w:pPr>
      <w:bookmarkStart w:id="32" w:name="_Toc156575247"/>
      <w:bookmarkStart w:id="33" w:name="_Toc156575515"/>
      <w:bookmarkStart w:id="34" w:name="_Toc171197752"/>
      <w:bookmarkStart w:id="35" w:name="_Toc159252989"/>
      <w:bookmarkStart w:id="36" w:name="_Toc207010478"/>
      <w:bookmarkStart w:id="37" w:name="_Toc171197647"/>
      <w:bookmarkStart w:id="38" w:name="_Toc171062799"/>
      <w:r>
        <w:t>2.2　符号</w:t>
      </w:r>
      <w:bookmarkEnd w:id="32"/>
      <w:bookmarkEnd w:id="33"/>
      <w:bookmarkEnd w:id="34"/>
      <w:bookmarkEnd w:id="35"/>
      <w:bookmarkEnd w:id="36"/>
      <w:bookmarkEnd w:id="37"/>
      <w:bookmarkEnd w:id="38"/>
    </w:p>
    <w:p w14:paraId="79B611C9">
      <w:pPr>
        <w:overflowPunct w:val="0"/>
        <w:topLinePunct/>
        <w:spacing w:before="156" w:after="156" w:afterLines="50" w:line="312" w:lineRule="auto"/>
        <w:ind w:firstLine="482"/>
        <w:rPr>
          <w:rFonts w:cs="Times New Roman"/>
          <w:szCs w:val="24"/>
        </w:rPr>
        <w:sectPr>
          <w:pgSz w:w="11906" w:h="16838"/>
          <w:pgMar w:top="1440" w:right="1800" w:bottom="1440" w:left="1800" w:header="851" w:footer="992" w:gutter="0"/>
          <w:cols w:space="425" w:num="1"/>
          <w:docGrid w:type="lines" w:linePitch="312" w:charSpace="0"/>
        </w:sectPr>
      </w:pPr>
      <w:r>
        <w:rPr>
          <w:rFonts w:cs="Times New Roman"/>
          <w:b/>
          <w:szCs w:val="24"/>
        </w:rPr>
        <w:t>2.2.1~2.2.3</w:t>
      </w:r>
      <w:r>
        <w:rPr>
          <w:rFonts w:cs="Times New Roman"/>
          <w:szCs w:val="24"/>
        </w:rPr>
        <w:t>　本节中采用的符号是按照现行国家标准《工程振动术语和符号标准》GB/T 51306、《工程结构设计通用符号标准》GB/T 50132、《工程结构设计基本术语标准》GB/T 50083和《动力机器基础设计标准》GB 50040等的有关规定，并结合压力机基础设计中所用的物理量进行编写。</w:t>
      </w:r>
    </w:p>
    <w:p w14:paraId="402032C9">
      <w:pPr>
        <w:pStyle w:val="3"/>
      </w:pPr>
      <w:bookmarkStart w:id="39" w:name="_Toc206578563"/>
      <w:bookmarkStart w:id="40" w:name="_Toc207010479"/>
      <w:r>
        <w:t xml:space="preserve">3 </w:t>
      </w:r>
      <w:r>
        <w:rPr>
          <w:rFonts w:hint="eastAsia"/>
        </w:rPr>
        <w:t>基本规定</w:t>
      </w:r>
      <w:bookmarkEnd w:id="39"/>
      <w:bookmarkEnd w:id="40"/>
    </w:p>
    <w:p w14:paraId="2E491440">
      <w:pPr>
        <w:pStyle w:val="4"/>
        <w:spacing w:before="156"/>
      </w:pPr>
      <w:bookmarkStart w:id="41" w:name="_Toc206578564"/>
      <w:bookmarkStart w:id="42" w:name="_Toc207010480"/>
      <w:r>
        <w:rPr>
          <w:rFonts w:hint="eastAsia"/>
        </w:rPr>
        <w:t>3</w:t>
      </w:r>
      <w:r>
        <w:t>.1</w:t>
      </w:r>
      <w:r>
        <w:rPr>
          <w:rFonts w:hint="eastAsia"/>
        </w:rPr>
        <w:t>一般要求</w:t>
      </w:r>
      <w:bookmarkEnd w:id="41"/>
      <w:bookmarkEnd w:id="42"/>
    </w:p>
    <w:p w14:paraId="72AF6449">
      <w:pPr>
        <w:spacing w:before="156"/>
        <w:ind w:firstLine="482"/>
      </w:pPr>
      <w:r>
        <w:rPr>
          <w:b/>
        </w:rPr>
        <w:t>3.1.1</w:t>
      </w:r>
      <w:r>
        <w:rPr>
          <w:rFonts w:hint="eastAsia"/>
          <w:b/>
        </w:rPr>
        <w:t xml:space="preserve"> </w:t>
      </w:r>
      <w:r>
        <w:rPr>
          <w:rFonts w:hint="eastAsia"/>
        </w:rPr>
        <w:t>本条文规定了锻锤地基基础设计应满足的五项结构性能要求，涵盖静力荷载、振动荷载、地震作用及环境振动控制等方面，确保基础在设计使用年限内安全、适用、耐久。</w:t>
      </w:r>
    </w:p>
    <w:p w14:paraId="7BFA3BFA">
      <w:pPr>
        <w:spacing w:before="156"/>
        <w:ind w:firstLine="480"/>
      </w:pPr>
      <w:r>
        <w:t>1　</w:t>
      </w:r>
      <w:r>
        <w:rPr>
          <w:rFonts w:hint="eastAsia"/>
        </w:rPr>
        <w:t>静力荷载验算</w:t>
      </w:r>
    </w:p>
    <w:p w14:paraId="49DBE2BA">
      <w:pPr>
        <w:spacing w:before="156"/>
        <w:ind w:firstLine="480"/>
      </w:pPr>
      <w:r>
        <w:rPr>
          <w:rFonts w:hint="eastAsia"/>
        </w:rPr>
        <w:t>锻锤基础在静力荷载（如基础自重、设备重量、回填土重等）作用下，必须保证地基承载力、变形及不均匀沉降满足《建筑地基基础设计规范》GB 50007的要求。</w:t>
      </w:r>
    </w:p>
    <w:p w14:paraId="74B14243">
      <w:pPr>
        <w:spacing w:before="156"/>
        <w:ind w:firstLine="480"/>
      </w:pPr>
      <w:r>
        <w:rPr>
          <w:rFonts w:hint="eastAsia"/>
        </w:rPr>
        <w:t>抗滑移安全系数≥1.3：防止基础在水平荷载作用下发生滑动。</w:t>
      </w:r>
    </w:p>
    <w:p w14:paraId="19CECFA4">
      <w:pPr>
        <w:spacing w:before="156"/>
        <w:ind w:firstLine="480"/>
      </w:pPr>
      <w:r>
        <w:rPr>
          <w:rFonts w:hint="eastAsia"/>
        </w:rPr>
        <w:t>抗浮稳定性安全系数≥1.05：防止地下水浮力导致基础上浮，尤其对坑式基础更为关键。</w:t>
      </w:r>
    </w:p>
    <w:p w14:paraId="1ED37881">
      <w:pPr>
        <w:spacing w:before="156"/>
        <w:ind w:firstLine="480"/>
      </w:pPr>
      <w:r>
        <w:t>2　</w:t>
      </w:r>
      <w:r>
        <w:rPr>
          <w:rFonts w:hint="eastAsia"/>
        </w:rPr>
        <w:t>振动荷载下的动承载力验算</w:t>
      </w:r>
    </w:p>
    <w:p w14:paraId="68ECB501">
      <w:pPr>
        <w:spacing w:before="156"/>
        <w:ind w:firstLine="480"/>
      </w:pPr>
      <w:r>
        <w:rPr>
          <w:rFonts w:hint="eastAsia"/>
        </w:rPr>
        <w:t xml:space="preserve">锻锤冲击荷载具有瞬时、高能量特性，易引起地基土动力响应。采用动力折减系数 </w:t>
      </w:r>
      <m:oMath>
        <m:sSub>
          <m:sSubPr>
            <m:ctrlPr>
              <w:rPr>
                <w:rFonts w:ascii="Cambria Math" w:hAnsi="Cambria Math"/>
              </w:rPr>
            </m:ctrlPr>
          </m:sSubPr>
          <m:e>
            <m:r>
              <m:rPr>
                <m:sty m:val="p"/>
              </m:rPr>
              <w:rPr>
                <w:rFonts w:ascii="Cambria Math" w:hAnsi="Cambria Math"/>
              </w:rPr>
              <m:t>α</m:t>
            </m:r>
            <m:ctrlPr>
              <w:rPr>
                <w:rFonts w:ascii="Cambria Math" w:hAnsi="Cambria Math"/>
              </w:rPr>
            </m:ctrlPr>
          </m:e>
          <m:sub>
            <m:r>
              <m:rPr>
                <m:sty m:val="p"/>
              </m:rPr>
              <w:rPr>
                <w:rFonts w:ascii="Cambria Math" w:hAnsi="Cambria Math"/>
              </w:rPr>
              <m:t>v</m:t>
            </m:r>
            <m:ctrlPr>
              <w:rPr>
                <w:rFonts w:ascii="Cambria Math" w:hAnsi="Cambria Math"/>
              </w:rPr>
            </m:ctrlPr>
          </m:sub>
        </m:sSub>
      </m:oMath>
      <w:r>
        <w:rPr>
          <w:rFonts w:hint="eastAsia"/>
        </w:rPr>
        <w:t>对静承载力特征值</w:t>
      </w:r>
      <m:oMath>
        <m:sSub>
          <m:sSubPr>
            <m:ctrlPr>
              <w:rPr>
                <w:rFonts w:ascii="Cambria Math" w:hAnsi="Cambria Math"/>
                <w:i/>
              </w:rPr>
            </m:ctrlPr>
          </m:sSubPr>
          <m:e>
            <m:r>
              <m:rPr/>
              <w:rPr>
                <w:rFonts w:hint="eastAsia" w:ascii="Cambria Math" w:hAnsi="Cambria Math"/>
              </w:rPr>
              <m:t>f</m:t>
            </m:r>
            <m:ctrlPr>
              <w:rPr>
                <w:rFonts w:ascii="Cambria Math" w:hAnsi="Cambria Math"/>
                <w:i/>
              </w:rPr>
            </m:ctrlPr>
          </m:e>
          <m:sub>
            <m:r>
              <m:rPr/>
              <w:rPr>
                <w:rFonts w:ascii="Cambria Math" w:hAnsi="Cambria Math"/>
              </w:rPr>
              <m:t>a</m:t>
            </m:r>
            <m:ctrlPr>
              <w:rPr>
                <w:rFonts w:ascii="Cambria Math" w:hAnsi="Cambria Math"/>
                <w:i/>
              </w:rPr>
            </m:ctrlPr>
          </m:sub>
        </m:sSub>
      </m:oMath>
      <w:r>
        <w:rPr>
          <w:rFonts w:hint="eastAsia"/>
        </w:rPr>
        <w:t>进行折减，以反映动力荷载对地基承载力的削弱效应。</w:t>
      </w:r>
      <m:oMath>
        <m:sSub>
          <m:sSubPr>
            <m:ctrlPr>
              <w:rPr>
                <w:rFonts w:ascii="Cambria Math" w:hAnsi="Cambria Math"/>
              </w:rPr>
            </m:ctrlPr>
          </m:sSubPr>
          <m:e>
            <m:r>
              <m:rPr>
                <m:sty m:val="p"/>
              </m:rPr>
              <w:rPr>
                <w:rFonts w:ascii="Cambria Math" w:hAnsi="Cambria Math"/>
              </w:rPr>
              <m:t>α</m:t>
            </m:r>
            <m:ctrlPr>
              <w:rPr>
                <w:rFonts w:ascii="Cambria Math" w:hAnsi="Cambria Math"/>
              </w:rPr>
            </m:ctrlPr>
          </m:e>
          <m:sub>
            <m:r>
              <m:rPr>
                <m:sty m:val="p"/>
              </m:rPr>
              <w:rPr>
                <w:rFonts w:ascii="Cambria Math" w:hAnsi="Cambria Math"/>
              </w:rPr>
              <m:t>v</m:t>
            </m:r>
            <m:ctrlPr>
              <w:rPr>
                <w:rFonts w:ascii="Cambria Math" w:hAnsi="Cambria Math"/>
              </w:rPr>
            </m:ctrlPr>
          </m:sub>
        </m:sSub>
      </m:oMath>
      <w:r>
        <w:rPr>
          <w:rFonts w:hint="eastAsia"/>
        </w:rPr>
        <w:t>的取值依据第7.2.3条，综合考虑地基土类别、振动加速度等因素。</w:t>
      </w:r>
    </w:p>
    <w:p w14:paraId="70D0AB98">
      <w:pPr>
        <w:spacing w:before="156"/>
        <w:ind w:firstLine="480"/>
      </w:pPr>
      <w:r>
        <w:rPr>
          <w:rFonts w:hint="eastAsia"/>
        </w:rPr>
        <w:t>3</w:t>
      </w:r>
      <w:r>
        <w:t>　振动控制标准</w:t>
      </w:r>
    </w:p>
    <w:p w14:paraId="2A252B83">
      <w:pPr>
        <w:spacing w:before="156"/>
        <w:ind w:firstLine="480"/>
      </w:pPr>
      <w:r>
        <w:t>基础顶面的振动位移和加速度必须控制在《建筑工程容许振动标准》GB 50868规定的限值内，以确保设备正常运行、人员舒适及结构安全。</w:t>
      </w:r>
    </w:p>
    <w:p w14:paraId="60432666">
      <w:pPr>
        <w:spacing w:before="156"/>
        <w:ind w:firstLine="480"/>
      </w:pPr>
      <w:r>
        <w:rPr>
          <w:rFonts w:hint="eastAsia"/>
        </w:rPr>
        <w:t>4</w:t>
      </w:r>
      <w:r>
        <w:t>　地震作用验算</w:t>
      </w:r>
    </w:p>
    <w:p w14:paraId="6F0319FA">
      <w:pPr>
        <w:spacing w:before="156"/>
        <w:ind w:firstLine="480"/>
      </w:pPr>
      <w:r>
        <w:t>在地震区，需按《建筑抗震设计规范》GB 50011验算地基抗震承载力，采用调整系数</w:t>
      </w:r>
      <m:oMath>
        <m:sSub>
          <m:sSubPr>
            <m:ctrlPr>
              <w:rPr>
                <w:rFonts w:ascii="Cambria Math" w:hAnsi="Cambria Math" w:cs="Times New Roman"/>
                <w:sz w:val="25"/>
                <w:szCs w:val="25"/>
              </w:rPr>
            </m:ctrlPr>
          </m:sSubPr>
          <m:e>
            <m:r>
              <m:rPr>
                <m:sty m:val="p"/>
              </m:rPr>
              <w:rPr>
                <w:rFonts w:ascii="Cambria Math" w:hAnsi="Cambria Math" w:cs="Times New Roman"/>
                <w:sz w:val="25"/>
                <w:szCs w:val="25"/>
              </w:rPr>
              <m:t>ζ</m:t>
            </m:r>
            <m:ctrlPr>
              <w:rPr>
                <w:rFonts w:ascii="Cambria Math" w:hAnsi="Cambria Math" w:cs="Times New Roman"/>
                <w:sz w:val="25"/>
                <w:szCs w:val="25"/>
              </w:rPr>
            </m:ctrlPr>
          </m:e>
          <m:sub>
            <m:r>
              <m:rPr/>
              <w:rPr>
                <w:rFonts w:ascii="Cambria Math" w:hAnsi="Cambria Math" w:cs="Times New Roman"/>
                <w:sz w:val="25"/>
                <w:szCs w:val="25"/>
              </w:rPr>
              <m:t>a</m:t>
            </m:r>
            <m:ctrlPr>
              <w:rPr>
                <w:rFonts w:ascii="Cambria Math" w:hAnsi="Cambria Math" w:cs="Times New Roman"/>
                <w:sz w:val="25"/>
                <w:szCs w:val="25"/>
              </w:rPr>
            </m:ctrlPr>
          </m:sub>
        </m:sSub>
      </m:oMath>
      <w:r>
        <w:t>对静承载力进行提高，反映地震作用下土体的动力特性。</w:t>
      </w:r>
    </w:p>
    <w:p w14:paraId="631AD6FC">
      <w:pPr>
        <w:spacing w:before="156"/>
        <w:ind w:firstLine="480"/>
      </w:pPr>
      <w:r>
        <w:rPr>
          <w:rFonts w:hint="eastAsia"/>
        </w:rPr>
        <w:t>5</w:t>
      </w:r>
      <w:r>
        <w:t>　环境振动控制</w:t>
      </w:r>
    </w:p>
    <w:p w14:paraId="75308605">
      <w:pPr>
        <w:spacing w:before="156"/>
        <w:ind w:firstLine="480"/>
      </w:pPr>
      <w:r>
        <w:t>当周边存在振动敏感目标（如精密仪器、医院、住宅等）时，除满足自身振动控制外，还需符合GB 50868中对环境振动的限制要求，必要时需采取隔振或减振措施。</w:t>
      </w:r>
    </w:p>
    <w:p w14:paraId="5295930E">
      <w:pPr>
        <w:spacing w:before="156"/>
        <w:ind w:firstLine="482"/>
      </w:pPr>
      <w:r>
        <w:rPr>
          <w:b/>
        </w:rPr>
        <w:t>3.1.</w:t>
      </w:r>
      <w:r>
        <w:rPr>
          <w:rFonts w:hint="eastAsia"/>
          <w:b/>
        </w:rPr>
        <w:t>2</w:t>
      </w:r>
      <w:r>
        <w:t>本条文规定了锻锤基础设计前期需收集的关键资料清单，是确保基础设计安全、经济、合理的前提和基础。编制理由和依据如下：</w:t>
      </w:r>
    </w:p>
    <w:p w14:paraId="4CCDC9BF">
      <w:pPr>
        <w:spacing w:before="156"/>
        <w:ind w:firstLine="480"/>
      </w:pPr>
      <w:r>
        <w:rPr>
          <w:rFonts w:hint="eastAsia"/>
          <w:bCs/>
        </w:rPr>
        <w:t>1</w:t>
      </w:r>
      <w:r>
        <w:rPr>
          <w:bCs/>
        </w:rPr>
        <w:t xml:space="preserve"> 全面性与系统性要求</w:t>
      </w:r>
      <w:r>
        <w:t>：锻锤基础设计是一个涉及机械、结构、岩土、工艺、环境等多专业的复杂系统工程。条文所列6大类资料</w:t>
      </w:r>
      <w:r>
        <w:rPr>
          <w:rFonts w:hint="eastAsia"/>
        </w:rPr>
        <w:t>，包括</w:t>
      </w:r>
      <w:r>
        <w:t>设备参数、安装条件、质量荷载、专业接口、地质勘察、环境敏感对象</w:t>
      </w:r>
      <w:r>
        <w:rPr>
          <w:rFonts w:hint="eastAsia"/>
        </w:rPr>
        <w:t>等，</w:t>
      </w:r>
      <w:r>
        <w:t>系统性地涵盖了影响基础设计的全部关键输入条件，避免因资料遗漏导致设计缺陷或后期变更。</w:t>
      </w:r>
    </w:p>
    <w:p w14:paraId="198A4A62">
      <w:pPr>
        <w:spacing w:before="156"/>
        <w:ind w:firstLine="480"/>
      </w:pPr>
      <w:r>
        <w:rPr>
          <w:rFonts w:hint="eastAsia"/>
        </w:rPr>
        <w:t>2</w:t>
      </w:r>
      <w:r>
        <w:t xml:space="preserve"> </w:t>
      </w:r>
      <w:r>
        <w:rPr>
          <w:rFonts w:hint="eastAsia"/>
        </w:rPr>
        <w:t>锻锤基础设计具体要求应包括以下内容：</w:t>
      </w:r>
    </w:p>
    <w:p w14:paraId="69545EA0">
      <w:pPr>
        <w:spacing w:before="156"/>
        <w:ind w:firstLine="480"/>
      </w:pPr>
      <w:r>
        <w:rPr>
          <w:rFonts w:hint="eastAsia"/>
        </w:rPr>
        <w:t>（1）</w:t>
      </w:r>
      <w:r>
        <w:t xml:space="preserve"> 设备参数</w:t>
      </w:r>
      <w:r>
        <w:rPr>
          <w:bCs/>
        </w:rPr>
        <w:t>：</w:t>
      </w:r>
      <w:r>
        <w:t>落下部分质量（</w:t>
      </w:r>
      <w:r>
        <w:rPr>
          <w:rStyle w:val="37"/>
          <w:rFonts w:ascii="var(--ds-font-family-code)" w:hAnsi="var(--ds-font-family-code)"/>
          <w:color w:val="404040"/>
          <w:sz w:val="21"/>
          <w:szCs w:val="21"/>
        </w:rPr>
        <w:t>m₀</w:t>
      </w:r>
      <w:r>
        <w:t>）、打击能量（</w:t>
      </w:r>
      <w:r>
        <w:rPr>
          <w:rStyle w:val="37"/>
          <w:rFonts w:ascii="var(--ds-font-family-code)" w:hAnsi="var(--ds-font-family-code)"/>
          <w:color w:val="404040"/>
          <w:sz w:val="21"/>
          <w:szCs w:val="21"/>
        </w:rPr>
        <w:t>E₀</w:t>
      </w:r>
      <w:r>
        <w:t>）是计算冲击荷载和进行动力分析的核心参数。公称质量与实测质量的区分，以及制造商提供的振动限值，是确保计算模型准确性和满足设备运行要求的关键。</w:t>
      </w:r>
    </w:p>
    <w:p w14:paraId="64BF15D6">
      <w:pPr>
        <w:spacing w:before="156"/>
        <w:ind w:firstLine="480"/>
      </w:pPr>
      <w:r>
        <w:rPr>
          <w:rFonts w:hint="eastAsia"/>
          <w:bCs/>
        </w:rPr>
        <w:t>（2）</w:t>
      </w:r>
      <w:r>
        <w:rPr>
          <w:bCs/>
        </w:rPr>
        <w:t xml:space="preserve"> 安装条件</w:t>
      </w:r>
      <w:r>
        <w:t>：详细的安装图纸和要求是确定基础尺寸、预埋件定位、局部荷载分布的直接依据，关系到设备安装的精度和基础局部承压的安全性。</w:t>
      </w:r>
    </w:p>
    <w:p w14:paraId="11B59A4C">
      <w:pPr>
        <w:spacing w:before="156"/>
        <w:ind w:firstLine="480"/>
      </w:pPr>
      <w:r>
        <w:rPr>
          <w:rFonts w:hint="eastAsia"/>
        </w:rPr>
        <w:t>（3）</w:t>
      </w:r>
      <w:r>
        <w:t xml:space="preserve"> 质量与荷载</w:t>
      </w:r>
      <w:r>
        <w:rPr>
          <w:bCs/>
        </w:rPr>
        <w:t>：机</w:t>
      </w:r>
      <w:r>
        <w:t>器总质量、质心位置是进行静力分析（地基承载力、沉降）和动力分析（质量矩阵）的基础。动荷载时程曲线或冲击力传递路径是进行精确动力仿真分析（如有限元分析）的理想输入数据。</w:t>
      </w:r>
    </w:p>
    <w:p w14:paraId="7EED0A21">
      <w:pPr>
        <w:spacing w:before="156"/>
        <w:ind w:firstLine="480"/>
      </w:pPr>
      <w:r>
        <w:rPr>
          <w:rFonts w:hint="eastAsia"/>
        </w:rPr>
        <w:t>（4）</w:t>
      </w:r>
      <w:r>
        <w:t xml:space="preserve"> 专业接口：强调了基础设计并非孤立进行，必须与工艺布局、厂房结构、地下管网、周边设备及电气系统相协调，避免冲突，并提前为可能的隔振减振措施预留条件。</w:t>
      </w:r>
    </w:p>
    <w:p w14:paraId="66AAA0DA">
      <w:pPr>
        <w:spacing w:before="156"/>
        <w:ind w:firstLine="480"/>
      </w:pPr>
      <w:r>
        <w:rPr>
          <w:rFonts w:hint="eastAsia"/>
          <w:bCs/>
        </w:rPr>
        <w:t>（5）</w:t>
      </w:r>
      <w:r>
        <w:rPr>
          <w:bCs/>
        </w:rPr>
        <w:t xml:space="preserve"> 地勘报告</w:t>
      </w:r>
      <w:r>
        <w:t>：岩土工程勘察报告提供地基土静力参数（承载力、压缩模量等），而</w:t>
      </w:r>
      <w:r>
        <w:rPr>
          <w:bCs/>
        </w:rPr>
        <w:t>地基动力特性试验报告</w:t>
      </w:r>
      <w:r>
        <w:t>（如地基刚度系数、阻尼比等）是进行动力机器基础设计的</w:t>
      </w:r>
      <w:r>
        <w:rPr>
          <w:bCs/>
        </w:rPr>
        <w:t>必要前提</w:t>
      </w:r>
      <w:r>
        <w:t>，对于无法现场测试的参数，可按</w:t>
      </w:r>
      <w:r>
        <w:rPr>
          <w:rFonts w:hint="eastAsia"/>
        </w:rPr>
        <w:t xml:space="preserve">现行国家标准《建筑工程容许振动标准》 </w:t>
      </w:r>
      <w:r>
        <w:t>GB 50040等标准</w:t>
      </w:r>
      <w:r>
        <w:rPr>
          <w:rFonts w:hint="eastAsia"/>
        </w:rPr>
        <w:t>分析</w:t>
      </w:r>
      <w:r>
        <w:t>。改造项目还需了解场地振动本底值。</w:t>
      </w:r>
    </w:p>
    <w:p w14:paraId="3AE9B79E">
      <w:pPr>
        <w:spacing w:before="156"/>
        <w:ind w:firstLine="480"/>
      </w:pPr>
      <w:r>
        <w:rPr>
          <w:rFonts w:hint="eastAsia"/>
          <w:bCs/>
        </w:rPr>
        <w:t>（6）</w:t>
      </w:r>
      <w:r>
        <w:rPr>
          <w:bCs/>
        </w:rPr>
        <w:t xml:space="preserve"> 环境敏感对象</w:t>
      </w:r>
      <w:r>
        <w:t>：体现了标准对环境保护和职业健康的重视。基础设计不仅要保证自身安全，还需控制振动传播对周边建筑、精密仪器和人员的影响，满足</w:t>
      </w:r>
      <w:r>
        <w:rPr>
          <w:rFonts w:hint="eastAsia"/>
        </w:rPr>
        <w:t xml:space="preserve">国家标准《建筑工程容许振动标准》 </w:t>
      </w:r>
      <w:r>
        <w:t>GB 50868等标准的要求。这是决定是否需要采用隔振基础以及隔振效率目标的重要依据。</w:t>
      </w:r>
    </w:p>
    <w:p w14:paraId="3335FBDF">
      <w:pPr>
        <w:spacing w:before="156"/>
        <w:ind w:firstLine="480"/>
      </w:pPr>
      <w:r>
        <w:rPr>
          <w:rFonts w:hint="eastAsia"/>
          <w:bCs/>
        </w:rPr>
        <w:t>3</w:t>
      </w:r>
      <w:r>
        <w:rPr>
          <w:bCs/>
        </w:rPr>
        <w:t xml:space="preserve"> 风险控制与经济性</w:t>
      </w:r>
      <w:r>
        <w:t>：提前获取全面准确的资料，有助于选择最经济合理的基础方案（如刚性基础或隔振基础）、避免因资料不全导致的保守设计或后期加固产生的巨大费用，并从源头控制振动对环境的影响风险。</w:t>
      </w:r>
    </w:p>
    <w:p w14:paraId="20D66FA2">
      <w:pPr>
        <w:spacing w:before="156"/>
        <w:ind w:firstLine="480"/>
      </w:pPr>
      <w:r>
        <w:rPr>
          <w:rFonts w:hint="eastAsia"/>
        </w:rPr>
        <w:t>3.1.3 本条规定了锻锤基础方案选型的基本原则。锻锤基础设计需综合考虑设备特性（如锻锤类型、落下部分质量、打击能量、工作频率等）、工程地质条件（如地基土类别、承载力、动力特性参数等）以及环境振动控制要求（如周边建筑、精密仪器的容许振动标准）。方案选型应在技术可行、经济合理的前提下，确保基础安全、稳定，并满足振动控制目标。设计时宜进行多方案比选，优先选用隔振基础方案以降低振动影响。</w:t>
      </w:r>
    </w:p>
    <w:p w14:paraId="62A5EB21">
      <w:pPr>
        <w:spacing w:before="156"/>
        <w:ind w:firstLine="480"/>
      </w:pPr>
      <w:r>
        <w:rPr>
          <w:rFonts w:hint="eastAsia"/>
        </w:rPr>
        <w:t>3.1.4 本条规定了在特殊地基条件下必须采取地基处理措施。冻土层、液化土层、湿陷性黄土、腐蚀性土层、采空区、岩溶地区等不良地质条件会显著降低地基承载力、增大沉降风险或引发地基失效，严重影响锻锤基础的安全性和稳定性。因此，必须根据具体地质情况，采用换填、桩基、注浆、压实等地基处理技术进行加固，确保地基满足静力和动力承载力要求。</w:t>
      </w:r>
    </w:p>
    <w:p w14:paraId="6DABDE95">
      <w:pPr>
        <w:spacing w:before="156"/>
        <w:ind w:firstLine="480"/>
      </w:pPr>
      <w:r>
        <w:rPr>
          <w:rFonts w:hint="eastAsia"/>
        </w:rPr>
        <w:t>3.1.5 本条规定了应采取隔振措施的情形。锻锤运行产生的强烈振动若超出人员舒适度、仪器设备正常工作或建筑结构安全的容许限值，则必须采取隔振措施。隔振系统可有效降低振动传递率，保护周边环境和设备，延长基础使用寿命。设计时应根据振动控制目标选择合适的隔振方案（直接隔振或间接隔振），并进行隔振效率验算。</w:t>
      </w:r>
    </w:p>
    <w:p w14:paraId="3AC17A01">
      <w:pPr>
        <w:spacing w:before="156"/>
        <w:ind w:firstLine="480"/>
      </w:pPr>
      <w:r>
        <w:rPr>
          <w:rFonts w:hint="eastAsia"/>
        </w:rPr>
        <w:t>3.1.6 本条规定了锻锤分类依据。对于锻锤设备可以按锻锤打击能量和落下部分质量（或锤头质量）来分类。由于现行国家标准《建筑工程容许振动标准》GB50868、《动力机器基础设计标准》GB50040和《建筑振动荷载标准》GB</w:t>
      </w:r>
      <w:r>
        <w:t>/T51228</w:t>
      </w:r>
      <w:r>
        <w:rPr>
          <w:rFonts w:hint="eastAsia"/>
        </w:rPr>
        <w:t>等均以锻锤下落部分质量来分析。为了与相应的现行国家标准协调一致，本标准依旧采用落下部分质量来分类。</w:t>
      </w:r>
    </w:p>
    <w:p w14:paraId="2B725D38">
      <w:pPr>
        <w:spacing w:before="156"/>
        <w:ind w:firstLine="480"/>
      </w:pPr>
      <w:r>
        <w:rPr>
          <w:rFonts w:hint="eastAsia"/>
        </w:rPr>
        <w:t>锻锤按落下部分质量分为小型、中型、大型和特大型，主要依据国内外锻锤设备常用规格及动力基础设计经验。分类的目的是为了区分不同规模锻锤对地基基础的动力影响程度，便于设计人员根据锻锤类型采取相应的设计措施。</w:t>
      </w:r>
    </w:p>
    <w:p w14:paraId="6BA88494">
      <w:pPr>
        <w:spacing w:before="156"/>
        <w:ind w:firstLine="480"/>
      </w:pPr>
      <w:r>
        <w:rPr>
          <w:rFonts w:hint="eastAsia"/>
        </w:rPr>
        <w:t>锤打击能越大，振动影响也越大。为了避免锻锤振动对环境的影响，周边结构安全，需要合理控制锻锤基础振动响应。因此，有必要将锻锤按打击能量来分级。自由锻的级方法分析方法宜按下表规定。</w:t>
      </w:r>
    </w:p>
    <w:p w14:paraId="3AF30798">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表3.1.3-1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锻锤分级</w:t>
      </w:r>
    </w:p>
    <w:tbl>
      <w:tblPr>
        <w:tblStyle w:val="31"/>
        <w:tblW w:w="8296" w:type="dxa"/>
        <w:tblInd w:w="0" w:type="dxa"/>
        <w:tblLayout w:type="autofit"/>
        <w:tblCellMar>
          <w:top w:w="0" w:type="dxa"/>
          <w:left w:w="108" w:type="dxa"/>
          <w:bottom w:w="0" w:type="dxa"/>
          <w:right w:w="108" w:type="dxa"/>
        </w:tblCellMar>
      </w:tblPr>
      <w:tblGrid>
        <w:gridCol w:w="1129"/>
        <w:gridCol w:w="1276"/>
        <w:gridCol w:w="992"/>
        <w:gridCol w:w="1985"/>
        <w:gridCol w:w="2914"/>
      </w:tblGrid>
      <w:tr w14:paraId="4AE0E614">
        <w:tblPrEx>
          <w:tblCellMar>
            <w:top w:w="0" w:type="dxa"/>
            <w:left w:w="108" w:type="dxa"/>
            <w:bottom w:w="0" w:type="dxa"/>
            <w:right w:w="108" w:type="dxa"/>
          </w:tblCellMar>
        </w:tblPrEx>
        <w:trPr>
          <w:trHeight w:val="280" w:hRule="atLeast"/>
        </w:trPr>
        <w:tc>
          <w:tcPr>
            <w:tcW w:w="1129" w:type="dxa"/>
            <w:vMerge w:val="restart"/>
            <w:tcBorders>
              <w:top w:val="single" w:color="auto" w:sz="4" w:space="0"/>
              <w:left w:val="single" w:color="auto" w:sz="4" w:space="0"/>
              <w:right w:val="single" w:color="auto" w:sz="4" w:space="0"/>
            </w:tcBorders>
            <w:shd w:val="clear" w:color="auto" w:fill="auto"/>
            <w:noWrap/>
            <w:tcMar>
              <w:left w:w="0" w:type="dxa"/>
              <w:right w:w="0" w:type="dxa"/>
            </w:tcMar>
            <w:vAlign w:val="center"/>
          </w:tcPr>
          <w:p w14:paraId="1877265E">
            <w:pPr>
              <w:pStyle w:val="3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锻锤分级</w:t>
            </w:r>
          </w:p>
        </w:tc>
        <w:tc>
          <w:tcPr>
            <w:tcW w:w="1276"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14:paraId="2E0796F4">
            <w:pPr>
              <w:pStyle w:val="3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锤头质量</w:t>
            </w:r>
          </w:p>
        </w:tc>
        <w:tc>
          <w:tcPr>
            <w:tcW w:w="992"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14:paraId="7436C7F5">
            <w:pPr>
              <w:pStyle w:val="3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打击能量</w:t>
            </w:r>
          </w:p>
        </w:tc>
        <w:tc>
          <w:tcPr>
            <w:tcW w:w="1985" w:type="dxa"/>
            <w:vMerge w:val="restart"/>
            <w:tcBorders>
              <w:top w:val="single" w:color="auto" w:sz="4" w:space="0"/>
              <w:left w:val="nil"/>
              <w:right w:val="single" w:color="auto" w:sz="4" w:space="0"/>
            </w:tcBorders>
            <w:shd w:val="clear" w:color="auto" w:fill="auto"/>
            <w:noWrap/>
            <w:tcMar>
              <w:left w:w="0" w:type="dxa"/>
              <w:right w:w="0" w:type="dxa"/>
            </w:tcMar>
            <w:vAlign w:val="center"/>
          </w:tcPr>
          <w:p w14:paraId="74A2007B">
            <w:pPr>
              <w:pStyle w:val="3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适用工件</w:t>
            </w:r>
          </w:p>
        </w:tc>
        <w:tc>
          <w:tcPr>
            <w:tcW w:w="2914" w:type="dxa"/>
            <w:vMerge w:val="restart"/>
            <w:tcBorders>
              <w:top w:val="single" w:color="auto" w:sz="4" w:space="0"/>
              <w:left w:val="nil"/>
              <w:right w:val="single" w:color="auto" w:sz="4" w:space="0"/>
            </w:tcBorders>
            <w:shd w:val="clear" w:color="auto" w:fill="auto"/>
            <w:noWrap/>
            <w:tcMar>
              <w:left w:w="0" w:type="dxa"/>
              <w:right w:w="0" w:type="dxa"/>
            </w:tcMar>
            <w:vAlign w:val="center"/>
          </w:tcPr>
          <w:p w14:paraId="05F95FE7">
            <w:pPr>
              <w:pStyle w:val="3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示例应用</w:t>
            </w:r>
          </w:p>
        </w:tc>
      </w:tr>
      <w:tr w14:paraId="73F3FA8F">
        <w:tblPrEx>
          <w:tblCellMar>
            <w:top w:w="0" w:type="dxa"/>
            <w:left w:w="108" w:type="dxa"/>
            <w:bottom w:w="0" w:type="dxa"/>
            <w:right w:w="108" w:type="dxa"/>
          </w:tblCellMar>
        </w:tblPrEx>
        <w:trPr>
          <w:trHeight w:val="280" w:hRule="atLeast"/>
        </w:trPr>
        <w:tc>
          <w:tcPr>
            <w:tcW w:w="1129" w:type="dxa"/>
            <w:vMerge w:val="continue"/>
            <w:tcBorders>
              <w:left w:val="single" w:color="auto" w:sz="4" w:space="0"/>
              <w:bottom w:val="single" w:color="auto" w:sz="4" w:space="0"/>
              <w:right w:val="single" w:color="auto" w:sz="4" w:space="0"/>
            </w:tcBorders>
            <w:shd w:val="clear" w:color="auto" w:fill="auto"/>
            <w:noWrap/>
            <w:tcMar>
              <w:left w:w="0" w:type="dxa"/>
              <w:right w:w="0" w:type="dxa"/>
            </w:tcMar>
            <w:vAlign w:val="center"/>
          </w:tcPr>
          <w:p w14:paraId="30E759D8">
            <w:pPr>
              <w:pStyle w:val="39"/>
              <w:rPr>
                <w:rFonts w:ascii="宋体" w:hAnsi="宋体"/>
                <w:color w:val="000000" w:themeColor="text1"/>
                <w14:textFill>
                  <w14:solidFill>
                    <w14:schemeClr w14:val="tx1"/>
                  </w14:solidFill>
                </w14:textFill>
              </w:rPr>
            </w:pPr>
          </w:p>
        </w:tc>
        <w:tc>
          <w:tcPr>
            <w:tcW w:w="1276" w:type="dxa"/>
            <w:tcBorders>
              <w:top w:val="nil"/>
              <w:left w:val="nil"/>
              <w:bottom w:val="single" w:color="auto" w:sz="4" w:space="0"/>
              <w:right w:val="single" w:color="auto" w:sz="4" w:space="0"/>
            </w:tcBorders>
            <w:shd w:val="clear" w:color="auto" w:fill="auto"/>
            <w:noWrap/>
            <w:tcMar>
              <w:left w:w="0" w:type="dxa"/>
              <w:right w:w="0" w:type="dxa"/>
            </w:tcMar>
            <w:vAlign w:val="center"/>
          </w:tcPr>
          <w:p w14:paraId="366E7F5F">
            <w:pPr>
              <w:pStyle w:val="3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kg</w:t>
            </w:r>
          </w:p>
        </w:tc>
        <w:tc>
          <w:tcPr>
            <w:tcW w:w="992" w:type="dxa"/>
            <w:tcBorders>
              <w:top w:val="nil"/>
              <w:left w:val="nil"/>
              <w:bottom w:val="single" w:color="auto" w:sz="4" w:space="0"/>
              <w:right w:val="single" w:color="auto" w:sz="4" w:space="0"/>
            </w:tcBorders>
            <w:shd w:val="clear" w:color="auto" w:fill="auto"/>
            <w:noWrap/>
            <w:tcMar>
              <w:left w:w="0" w:type="dxa"/>
              <w:right w:w="0" w:type="dxa"/>
            </w:tcMar>
            <w:vAlign w:val="center"/>
          </w:tcPr>
          <w:p w14:paraId="4819396D">
            <w:pPr>
              <w:pStyle w:val="3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kJ</w:t>
            </w:r>
          </w:p>
        </w:tc>
        <w:tc>
          <w:tcPr>
            <w:tcW w:w="1985" w:type="dxa"/>
            <w:vMerge w:val="continue"/>
            <w:tcBorders>
              <w:left w:val="nil"/>
              <w:bottom w:val="single" w:color="auto" w:sz="4" w:space="0"/>
              <w:right w:val="single" w:color="auto" w:sz="4" w:space="0"/>
            </w:tcBorders>
            <w:shd w:val="clear" w:color="auto" w:fill="auto"/>
            <w:noWrap/>
            <w:tcMar>
              <w:left w:w="0" w:type="dxa"/>
              <w:right w:w="0" w:type="dxa"/>
            </w:tcMar>
            <w:vAlign w:val="center"/>
          </w:tcPr>
          <w:p w14:paraId="0ABCE33E">
            <w:pPr>
              <w:pStyle w:val="39"/>
              <w:rPr>
                <w:rFonts w:ascii="宋体" w:hAnsi="宋体"/>
                <w:color w:val="000000" w:themeColor="text1"/>
                <w14:textFill>
                  <w14:solidFill>
                    <w14:schemeClr w14:val="tx1"/>
                  </w14:solidFill>
                </w14:textFill>
              </w:rPr>
            </w:pPr>
          </w:p>
        </w:tc>
        <w:tc>
          <w:tcPr>
            <w:tcW w:w="2914" w:type="dxa"/>
            <w:vMerge w:val="continue"/>
            <w:tcBorders>
              <w:left w:val="nil"/>
              <w:bottom w:val="single" w:color="auto" w:sz="4" w:space="0"/>
              <w:right w:val="single" w:color="auto" w:sz="4" w:space="0"/>
            </w:tcBorders>
            <w:shd w:val="clear" w:color="auto" w:fill="auto"/>
            <w:noWrap/>
            <w:tcMar>
              <w:left w:w="0" w:type="dxa"/>
              <w:right w:w="0" w:type="dxa"/>
            </w:tcMar>
            <w:vAlign w:val="center"/>
          </w:tcPr>
          <w:p w14:paraId="0B66706F">
            <w:pPr>
              <w:pStyle w:val="39"/>
              <w:rPr>
                <w:rFonts w:ascii="宋体" w:hAnsi="宋体"/>
                <w:color w:val="000000" w:themeColor="text1"/>
                <w14:textFill>
                  <w14:solidFill>
                    <w14:schemeClr w14:val="tx1"/>
                  </w14:solidFill>
                </w14:textFill>
              </w:rPr>
            </w:pPr>
          </w:p>
        </w:tc>
      </w:tr>
      <w:tr w14:paraId="0802E261">
        <w:tblPrEx>
          <w:tblCellMar>
            <w:top w:w="0" w:type="dxa"/>
            <w:left w:w="108" w:type="dxa"/>
            <w:bottom w:w="0" w:type="dxa"/>
            <w:right w:w="108" w:type="dxa"/>
          </w:tblCellMar>
        </w:tblPrEx>
        <w:trPr>
          <w:trHeight w:val="280" w:hRule="atLeast"/>
        </w:trPr>
        <w:tc>
          <w:tcPr>
            <w:tcW w:w="1129" w:type="dxa"/>
            <w:tcBorders>
              <w:top w:val="nil"/>
              <w:left w:val="single" w:color="auto" w:sz="4" w:space="0"/>
              <w:bottom w:val="single" w:color="auto" w:sz="4" w:space="0"/>
              <w:right w:val="single" w:color="auto" w:sz="4" w:space="0"/>
            </w:tcBorders>
            <w:shd w:val="clear" w:color="auto" w:fill="auto"/>
            <w:noWrap/>
            <w:tcMar>
              <w:left w:w="0" w:type="dxa"/>
              <w:right w:w="0" w:type="dxa"/>
            </w:tcMar>
            <w:vAlign w:val="center"/>
          </w:tcPr>
          <w:p w14:paraId="71E02E8A">
            <w:pPr>
              <w:pStyle w:val="3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轻型锻锤</w:t>
            </w:r>
          </w:p>
        </w:tc>
        <w:tc>
          <w:tcPr>
            <w:tcW w:w="1276" w:type="dxa"/>
            <w:tcBorders>
              <w:top w:val="nil"/>
              <w:left w:val="nil"/>
              <w:bottom w:val="single" w:color="auto" w:sz="4" w:space="0"/>
              <w:right w:val="single" w:color="auto" w:sz="4" w:space="0"/>
            </w:tcBorders>
            <w:shd w:val="clear" w:color="auto" w:fill="auto"/>
            <w:noWrap/>
            <w:tcMar>
              <w:left w:w="0" w:type="dxa"/>
              <w:right w:w="0" w:type="dxa"/>
            </w:tcMar>
            <w:vAlign w:val="center"/>
          </w:tcPr>
          <w:p w14:paraId="4066683B">
            <w:pPr>
              <w:pStyle w:val="3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&lt;</w:t>
            </w:r>
            <w:r>
              <w:rPr>
                <w:rFonts w:ascii="宋体" w:hAnsi="宋体"/>
                <w:color w:val="000000" w:themeColor="text1"/>
                <w14:textFill>
                  <w14:solidFill>
                    <w14:schemeClr w14:val="tx1"/>
                  </w14:solidFill>
                </w14:textFill>
              </w:rPr>
              <w:t>0.1</w:t>
            </w:r>
          </w:p>
        </w:tc>
        <w:tc>
          <w:tcPr>
            <w:tcW w:w="992" w:type="dxa"/>
            <w:tcBorders>
              <w:top w:val="nil"/>
              <w:left w:val="nil"/>
              <w:bottom w:val="single" w:color="auto" w:sz="4" w:space="0"/>
              <w:right w:val="single" w:color="auto" w:sz="4" w:space="0"/>
            </w:tcBorders>
            <w:shd w:val="clear" w:color="auto" w:fill="auto"/>
            <w:noWrap/>
            <w:tcMar>
              <w:left w:w="0" w:type="dxa"/>
              <w:right w:w="0" w:type="dxa"/>
            </w:tcMar>
            <w:vAlign w:val="center"/>
          </w:tcPr>
          <w:p w14:paraId="33B98244">
            <w:pPr>
              <w:pStyle w:val="3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&lt;10</w:t>
            </w:r>
          </w:p>
        </w:tc>
        <w:tc>
          <w:tcPr>
            <w:tcW w:w="1985" w:type="dxa"/>
            <w:tcBorders>
              <w:top w:val="nil"/>
              <w:left w:val="nil"/>
              <w:bottom w:val="single" w:color="auto" w:sz="4" w:space="0"/>
              <w:right w:val="single" w:color="auto" w:sz="4" w:space="0"/>
            </w:tcBorders>
            <w:shd w:val="clear" w:color="auto" w:fill="auto"/>
            <w:noWrap/>
            <w:tcMar>
              <w:left w:w="0" w:type="dxa"/>
              <w:right w:w="0" w:type="dxa"/>
            </w:tcMar>
            <w:vAlign w:val="center"/>
          </w:tcPr>
          <w:p w14:paraId="6EC73494">
            <w:pPr>
              <w:pStyle w:val="3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小型或精细工件</w:t>
            </w:r>
          </w:p>
        </w:tc>
        <w:tc>
          <w:tcPr>
            <w:tcW w:w="2914" w:type="dxa"/>
            <w:tcBorders>
              <w:top w:val="nil"/>
              <w:left w:val="nil"/>
              <w:bottom w:val="single" w:color="auto" w:sz="4" w:space="0"/>
              <w:right w:val="single" w:color="auto" w:sz="4" w:space="0"/>
            </w:tcBorders>
            <w:shd w:val="clear" w:color="auto" w:fill="auto"/>
            <w:noWrap/>
            <w:tcMar>
              <w:left w:w="0" w:type="dxa"/>
              <w:right w:w="0" w:type="dxa"/>
            </w:tcMar>
            <w:vAlign w:val="center"/>
          </w:tcPr>
          <w:p w14:paraId="6B3915B6">
            <w:pPr>
              <w:pStyle w:val="3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小型零件加工、模具锻造</w:t>
            </w:r>
          </w:p>
        </w:tc>
      </w:tr>
      <w:tr w14:paraId="62B4F7F7">
        <w:tblPrEx>
          <w:tblCellMar>
            <w:top w:w="0" w:type="dxa"/>
            <w:left w:w="108" w:type="dxa"/>
            <w:bottom w:w="0" w:type="dxa"/>
            <w:right w:w="108" w:type="dxa"/>
          </w:tblCellMar>
        </w:tblPrEx>
        <w:trPr>
          <w:trHeight w:val="280" w:hRule="atLeast"/>
        </w:trPr>
        <w:tc>
          <w:tcPr>
            <w:tcW w:w="1129" w:type="dxa"/>
            <w:tcBorders>
              <w:top w:val="nil"/>
              <w:left w:val="single" w:color="auto" w:sz="4" w:space="0"/>
              <w:bottom w:val="single" w:color="auto" w:sz="4" w:space="0"/>
              <w:right w:val="single" w:color="auto" w:sz="4" w:space="0"/>
            </w:tcBorders>
            <w:shd w:val="clear" w:color="auto" w:fill="auto"/>
            <w:noWrap/>
            <w:tcMar>
              <w:left w:w="0" w:type="dxa"/>
              <w:right w:w="0" w:type="dxa"/>
            </w:tcMar>
            <w:vAlign w:val="center"/>
          </w:tcPr>
          <w:p w14:paraId="71B34F12">
            <w:pPr>
              <w:pStyle w:val="3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小型锻锤</w:t>
            </w:r>
          </w:p>
        </w:tc>
        <w:tc>
          <w:tcPr>
            <w:tcW w:w="1276" w:type="dxa"/>
            <w:tcBorders>
              <w:top w:val="nil"/>
              <w:left w:val="nil"/>
              <w:bottom w:val="single" w:color="auto" w:sz="4" w:space="0"/>
              <w:right w:val="single" w:color="auto" w:sz="4" w:space="0"/>
            </w:tcBorders>
            <w:shd w:val="clear" w:color="auto" w:fill="auto"/>
            <w:noWrap/>
            <w:tcMar>
              <w:left w:w="0" w:type="dxa"/>
              <w:right w:w="0" w:type="dxa"/>
            </w:tcMar>
            <w:vAlign w:val="center"/>
          </w:tcPr>
          <w:p w14:paraId="06ED4959">
            <w:pPr>
              <w:pStyle w:val="39"/>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0.1</w:t>
            </w: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1.0</w:t>
            </w:r>
          </w:p>
        </w:tc>
        <w:tc>
          <w:tcPr>
            <w:tcW w:w="992" w:type="dxa"/>
            <w:tcBorders>
              <w:top w:val="nil"/>
              <w:left w:val="nil"/>
              <w:bottom w:val="single" w:color="auto" w:sz="4" w:space="0"/>
              <w:right w:val="single" w:color="auto" w:sz="4" w:space="0"/>
            </w:tcBorders>
            <w:shd w:val="clear" w:color="auto" w:fill="auto"/>
            <w:noWrap/>
            <w:tcMar>
              <w:left w:w="0" w:type="dxa"/>
              <w:right w:w="0" w:type="dxa"/>
            </w:tcMar>
            <w:vAlign w:val="center"/>
          </w:tcPr>
          <w:p w14:paraId="58238CB5">
            <w:pPr>
              <w:pStyle w:val="3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10~200</w:t>
            </w:r>
          </w:p>
        </w:tc>
        <w:tc>
          <w:tcPr>
            <w:tcW w:w="1985" w:type="dxa"/>
            <w:tcBorders>
              <w:top w:val="nil"/>
              <w:left w:val="nil"/>
              <w:bottom w:val="single" w:color="auto" w:sz="4" w:space="0"/>
              <w:right w:val="single" w:color="auto" w:sz="4" w:space="0"/>
            </w:tcBorders>
            <w:shd w:val="clear" w:color="auto" w:fill="auto"/>
            <w:noWrap/>
            <w:tcMar>
              <w:left w:w="0" w:type="dxa"/>
              <w:right w:w="0" w:type="dxa"/>
            </w:tcMar>
            <w:vAlign w:val="center"/>
          </w:tcPr>
          <w:p w14:paraId="66D9F07D">
            <w:pPr>
              <w:pStyle w:val="3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中型工件</w:t>
            </w:r>
          </w:p>
        </w:tc>
        <w:tc>
          <w:tcPr>
            <w:tcW w:w="2914" w:type="dxa"/>
            <w:tcBorders>
              <w:top w:val="nil"/>
              <w:left w:val="nil"/>
              <w:bottom w:val="single" w:color="auto" w:sz="4" w:space="0"/>
              <w:right w:val="single" w:color="auto" w:sz="4" w:space="0"/>
            </w:tcBorders>
            <w:shd w:val="clear" w:color="auto" w:fill="auto"/>
            <w:noWrap/>
            <w:tcMar>
              <w:left w:w="0" w:type="dxa"/>
              <w:right w:w="0" w:type="dxa"/>
            </w:tcMar>
            <w:vAlign w:val="center"/>
          </w:tcPr>
          <w:p w14:paraId="51EBEB76">
            <w:pPr>
              <w:pStyle w:val="3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轴类、齿轮、机壳等</w:t>
            </w:r>
          </w:p>
        </w:tc>
      </w:tr>
      <w:tr w14:paraId="3D609A70">
        <w:tblPrEx>
          <w:tblCellMar>
            <w:top w:w="0" w:type="dxa"/>
            <w:left w:w="108" w:type="dxa"/>
            <w:bottom w:w="0" w:type="dxa"/>
            <w:right w:w="108" w:type="dxa"/>
          </w:tblCellMar>
        </w:tblPrEx>
        <w:trPr>
          <w:trHeight w:val="280" w:hRule="atLeast"/>
        </w:trPr>
        <w:tc>
          <w:tcPr>
            <w:tcW w:w="1129" w:type="dxa"/>
            <w:tcBorders>
              <w:top w:val="nil"/>
              <w:left w:val="single" w:color="auto" w:sz="4" w:space="0"/>
              <w:bottom w:val="single" w:color="auto" w:sz="4" w:space="0"/>
              <w:right w:val="single" w:color="auto" w:sz="4" w:space="0"/>
            </w:tcBorders>
            <w:shd w:val="clear" w:color="auto" w:fill="auto"/>
            <w:noWrap/>
            <w:tcMar>
              <w:left w:w="0" w:type="dxa"/>
              <w:right w:w="0" w:type="dxa"/>
            </w:tcMar>
            <w:vAlign w:val="center"/>
          </w:tcPr>
          <w:p w14:paraId="5399A05C">
            <w:pPr>
              <w:pStyle w:val="3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中型锻锤</w:t>
            </w:r>
          </w:p>
        </w:tc>
        <w:tc>
          <w:tcPr>
            <w:tcW w:w="1276" w:type="dxa"/>
            <w:tcBorders>
              <w:top w:val="nil"/>
              <w:left w:val="nil"/>
              <w:bottom w:val="single" w:color="auto" w:sz="4" w:space="0"/>
              <w:right w:val="single" w:color="auto" w:sz="4" w:space="0"/>
            </w:tcBorders>
            <w:shd w:val="clear" w:color="auto" w:fill="auto"/>
            <w:noWrap/>
            <w:tcMar>
              <w:left w:w="0" w:type="dxa"/>
              <w:right w:w="0" w:type="dxa"/>
            </w:tcMar>
            <w:vAlign w:val="center"/>
          </w:tcPr>
          <w:p w14:paraId="47A9DD43">
            <w:pPr>
              <w:pStyle w:val="39"/>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1.0</w:t>
            </w:r>
            <w:r>
              <w:rPr>
                <w:rFonts w:hint="eastAsia" w:ascii="宋体" w:hAnsi="宋体"/>
                <w:color w:val="000000" w:themeColor="text1"/>
                <w14:textFill>
                  <w14:solidFill>
                    <w14:schemeClr w14:val="tx1"/>
                  </w14:solidFill>
                </w14:textFill>
              </w:rPr>
              <w:t>~5</w:t>
            </w:r>
            <w:r>
              <w:rPr>
                <w:rFonts w:ascii="宋体" w:hAnsi="宋体"/>
                <w:color w:val="000000" w:themeColor="text1"/>
                <w14:textFill>
                  <w14:solidFill>
                    <w14:schemeClr w14:val="tx1"/>
                  </w14:solidFill>
                </w14:textFill>
              </w:rPr>
              <w:t>.0</w:t>
            </w:r>
          </w:p>
        </w:tc>
        <w:tc>
          <w:tcPr>
            <w:tcW w:w="992" w:type="dxa"/>
            <w:tcBorders>
              <w:top w:val="nil"/>
              <w:left w:val="nil"/>
              <w:bottom w:val="single" w:color="auto" w:sz="4" w:space="0"/>
              <w:right w:val="single" w:color="auto" w:sz="4" w:space="0"/>
            </w:tcBorders>
            <w:shd w:val="clear" w:color="auto" w:fill="auto"/>
            <w:noWrap/>
            <w:tcMar>
              <w:left w:w="0" w:type="dxa"/>
              <w:right w:w="0" w:type="dxa"/>
            </w:tcMar>
            <w:vAlign w:val="center"/>
          </w:tcPr>
          <w:p w14:paraId="5A9A2622">
            <w:pPr>
              <w:pStyle w:val="3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100~300</w:t>
            </w:r>
          </w:p>
        </w:tc>
        <w:tc>
          <w:tcPr>
            <w:tcW w:w="1985" w:type="dxa"/>
            <w:tcBorders>
              <w:top w:val="nil"/>
              <w:left w:val="nil"/>
              <w:bottom w:val="single" w:color="auto" w:sz="4" w:space="0"/>
              <w:right w:val="single" w:color="auto" w:sz="4" w:space="0"/>
            </w:tcBorders>
            <w:shd w:val="clear" w:color="auto" w:fill="auto"/>
            <w:noWrap/>
            <w:tcMar>
              <w:left w:w="0" w:type="dxa"/>
              <w:right w:w="0" w:type="dxa"/>
            </w:tcMar>
            <w:vAlign w:val="center"/>
          </w:tcPr>
          <w:p w14:paraId="66B5DB8A">
            <w:pPr>
              <w:pStyle w:val="3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大型工件</w:t>
            </w:r>
          </w:p>
        </w:tc>
        <w:tc>
          <w:tcPr>
            <w:tcW w:w="2914" w:type="dxa"/>
            <w:tcBorders>
              <w:top w:val="nil"/>
              <w:left w:val="nil"/>
              <w:bottom w:val="single" w:color="auto" w:sz="4" w:space="0"/>
              <w:right w:val="single" w:color="auto" w:sz="4" w:space="0"/>
            </w:tcBorders>
            <w:shd w:val="clear" w:color="auto" w:fill="auto"/>
            <w:noWrap/>
            <w:tcMar>
              <w:left w:w="0" w:type="dxa"/>
              <w:right w:w="0" w:type="dxa"/>
            </w:tcMar>
            <w:vAlign w:val="center"/>
          </w:tcPr>
          <w:p w14:paraId="69B41A44">
            <w:pPr>
              <w:pStyle w:val="3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大型结构件、重型机械部件</w:t>
            </w:r>
          </w:p>
        </w:tc>
      </w:tr>
      <w:tr w14:paraId="5CFE9F72">
        <w:tblPrEx>
          <w:tblCellMar>
            <w:top w:w="0" w:type="dxa"/>
            <w:left w:w="108" w:type="dxa"/>
            <w:bottom w:w="0" w:type="dxa"/>
            <w:right w:w="108" w:type="dxa"/>
          </w:tblCellMar>
        </w:tblPrEx>
        <w:trPr>
          <w:trHeight w:val="280" w:hRule="atLeast"/>
        </w:trPr>
        <w:tc>
          <w:tcPr>
            <w:tcW w:w="1129" w:type="dxa"/>
            <w:tcBorders>
              <w:top w:val="nil"/>
              <w:left w:val="single" w:color="auto" w:sz="4" w:space="0"/>
              <w:bottom w:val="single" w:color="auto" w:sz="4" w:space="0"/>
              <w:right w:val="single" w:color="auto" w:sz="4" w:space="0"/>
            </w:tcBorders>
            <w:shd w:val="clear" w:color="auto" w:fill="auto"/>
            <w:noWrap/>
            <w:tcMar>
              <w:left w:w="0" w:type="dxa"/>
              <w:right w:w="0" w:type="dxa"/>
            </w:tcMar>
            <w:vAlign w:val="center"/>
          </w:tcPr>
          <w:p w14:paraId="3E119E91">
            <w:pPr>
              <w:pStyle w:val="3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大型锻锤</w:t>
            </w:r>
          </w:p>
        </w:tc>
        <w:tc>
          <w:tcPr>
            <w:tcW w:w="1276" w:type="dxa"/>
            <w:tcBorders>
              <w:top w:val="nil"/>
              <w:left w:val="nil"/>
              <w:bottom w:val="single" w:color="auto" w:sz="4" w:space="0"/>
              <w:right w:val="single" w:color="auto" w:sz="4" w:space="0"/>
            </w:tcBorders>
            <w:shd w:val="clear" w:color="auto" w:fill="auto"/>
            <w:noWrap/>
            <w:tcMar>
              <w:left w:w="0" w:type="dxa"/>
              <w:right w:w="0" w:type="dxa"/>
            </w:tcMar>
            <w:vAlign w:val="center"/>
          </w:tcPr>
          <w:p w14:paraId="44FCFF63">
            <w:pPr>
              <w:pStyle w:val="3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w:t>
            </w:r>
            <w:r>
              <w:rPr>
                <w:rFonts w:ascii="宋体" w:hAnsi="宋体"/>
                <w:color w:val="000000" w:themeColor="text1"/>
                <w14:textFill>
                  <w14:solidFill>
                    <w14:schemeClr w14:val="tx1"/>
                  </w14:solidFill>
                </w14:textFill>
              </w:rPr>
              <w:t>.0</w:t>
            </w:r>
            <w:r>
              <w:rPr>
                <w:rFonts w:hint="eastAsia" w:ascii="宋体" w:hAnsi="宋体"/>
                <w:color w:val="000000" w:themeColor="text1"/>
                <w14:textFill>
                  <w14:solidFill>
                    <w14:schemeClr w14:val="tx1"/>
                  </w14:solidFill>
                </w14:textFill>
              </w:rPr>
              <w:t>~16</w:t>
            </w:r>
            <w:r>
              <w:rPr>
                <w:rFonts w:ascii="宋体" w:hAnsi="宋体"/>
                <w:color w:val="000000" w:themeColor="text1"/>
                <w14:textFill>
                  <w14:solidFill>
                    <w14:schemeClr w14:val="tx1"/>
                  </w14:solidFill>
                </w14:textFill>
              </w:rPr>
              <w:t>.0</w:t>
            </w:r>
          </w:p>
        </w:tc>
        <w:tc>
          <w:tcPr>
            <w:tcW w:w="992" w:type="dxa"/>
            <w:tcBorders>
              <w:top w:val="nil"/>
              <w:left w:val="nil"/>
              <w:bottom w:val="single" w:color="auto" w:sz="4" w:space="0"/>
              <w:right w:val="single" w:color="auto" w:sz="4" w:space="0"/>
            </w:tcBorders>
            <w:shd w:val="clear" w:color="auto" w:fill="auto"/>
            <w:noWrap/>
            <w:tcMar>
              <w:left w:w="0" w:type="dxa"/>
              <w:right w:w="0" w:type="dxa"/>
            </w:tcMar>
            <w:vAlign w:val="center"/>
          </w:tcPr>
          <w:p w14:paraId="38DE4338">
            <w:pPr>
              <w:pStyle w:val="3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300~500</w:t>
            </w:r>
          </w:p>
        </w:tc>
        <w:tc>
          <w:tcPr>
            <w:tcW w:w="1985" w:type="dxa"/>
            <w:tcBorders>
              <w:top w:val="nil"/>
              <w:left w:val="nil"/>
              <w:bottom w:val="single" w:color="auto" w:sz="4" w:space="0"/>
              <w:right w:val="single" w:color="auto" w:sz="4" w:space="0"/>
            </w:tcBorders>
            <w:shd w:val="clear" w:color="auto" w:fill="auto"/>
            <w:noWrap/>
            <w:tcMar>
              <w:left w:w="0" w:type="dxa"/>
              <w:right w:w="0" w:type="dxa"/>
            </w:tcMar>
            <w:vAlign w:val="center"/>
          </w:tcPr>
          <w:p w14:paraId="41C59568">
            <w:pPr>
              <w:pStyle w:val="3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特大型工件</w:t>
            </w:r>
          </w:p>
        </w:tc>
        <w:tc>
          <w:tcPr>
            <w:tcW w:w="2914" w:type="dxa"/>
            <w:tcBorders>
              <w:top w:val="nil"/>
              <w:left w:val="nil"/>
              <w:bottom w:val="single" w:color="auto" w:sz="4" w:space="0"/>
              <w:right w:val="single" w:color="auto" w:sz="4" w:space="0"/>
            </w:tcBorders>
            <w:shd w:val="clear" w:color="auto" w:fill="auto"/>
            <w:noWrap/>
            <w:tcMar>
              <w:left w:w="0" w:type="dxa"/>
              <w:right w:w="0" w:type="dxa"/>
            </w:tcMar>
            <w:vAlign w:val="center"/>
          </w:tcPr>
          <w:p w14:paraId="54019D5B">
            <w:pPr>
              <w:pStyle w:val="3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航空航天、重型工程制造</w:t>
            </w:r>
          </w:p>
        </w:tc>
      </w:tr>
      <w:tr w14:paraId="589AF060">
        <w:tblPrEx>
          <w:tblCellMar>
            <w:top w:w="0" w:type="dxa"/>
            <w:left w:w="108" w:type="dxa"/>
            <w:bottom w:w="0" w:type="dxa"/>
            <w:right w:w="108" w:type="dxa"/>
          </w:tblCellMar>
        </w:tblPrEx>
        <w:trPr>
          <w:trHeight w:val="280" w:hRule="atLeast"/>
        </w:trPr>
        <w:tc>
          <w:tcPr>
            <w:tcW w:w="1129" w:type="dxa"/>
            <w:tcBorders>
              <w:top w:val="single" w:color="auto" w:sz="4" w:space="0"/>
              <w:left w:val="single" w:color="auto" w:sz="4" w:space="0"/>
              <w:bottom w:val="single" w:color="auto" w:sz="4" w:space="0"/>
              <w:right w:val="single" w:color="auto" w:sz="4" w:space="0"/>
            </w:tcBorders>
            <w:shd w:val="clear" w:color="auto" w:fill="auto"/>
            <w:noWrap/>
            <w:tcMar>
              <w:left w:w="0" w:type="dxa"/>
              <w:right w:w="0" w:type="dxa"/>
            </w:tcMar>
            <w:vAlign w:val="center"/>
          </w:tcPr>
          <w:p w14:paraId="2F37CE21">
            <w:pPr>
              <w:pStyle w:val="3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特大型</w:t>
            </w:r>
          </w:p>
        </w:tc>
        <w:tc>
          <w:tcPr>
            <w:tcW w:w="1276"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14:paraId="0AEB892E">
            <w:pPr>
              <w:pStyle w:val="39"/>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&gt;16.0</w:t>
            </w:r>
          </w:p>
        </w:tc>
        <w:tc>
          <w:tcPr>
            <w:tcW w:w="992"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14:paraId="08FA5E3D">
            <w:pPr>
              <w:pStyle w:val="3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&gt;</w:t>
            </w:r>
            <w:r>
              <w:rPr>
                <w:rFonts w:ascii="宋体" w:hAnsi="宋体"/>
                <w:color w:val="000000" w:themeColor="text1"/>
                <w14:textFill>
                  <w14:solidFill>
                    <w14:schemeClr w14:val="tx1"/>
                  </w14:solidFill>
                </w14:textFill>
              </w:rPr>
              <w:t>500</w:t>
            </w:r>
          </w:p>
        </w:tc>
        <w:tc>
          <w:tcPr>
            <w:tcW w:w="1985"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14:paraId="07FE0A4D">
            <w:pPr>
              <w:pStyle w:val="3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p>
        </w:tc>
        <w:tc>
          <w:tcPr>
            <w:tcW w:w="2914"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14:paraId="37DDF208">
            <w:pPr>
              <w:pStyle w:val="3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p>
        </w:tc>
      </w:tr>
    </w:tbl>
    <w:p w14:paraId="4B047A0D">
      <w:pPr>
        <w:spacing w:before="156"/>
        <w:ind w:firstLine="480"/>
      </w:pPr>
      <w:r>
        <w:rPr>
          <w:rFonts w:hint="eastAsia"/>
        </w:rPr>
        <w:t>自由锻：依赖操作者或简单机械（如空气锤、蒸汽锤）的局部打击，打击力分散且多次成形。</w:t>
      </w:r>
    </w:p>
    <w:p w14:paraId="05CB2323">
      <w:pPr>
        <w:spacing w:before="156"/>
        <w:ind w:firstLine="480"/>
      </w:pPr>
      <w:r>
        <w:rPr>
          <w:rFonts w:hint="eastAsia"/>
        </w:rPr>
        <w:t>典型打击力范围：小型自由锻锤（如50 kg空气锤）打击力约 几十至几百千牛（kN）；大型液压自由锻机可达 几千至数万千牛（如万吨级水压机）。</w:t>
      </w:r>
    </w:p>
    <w:p w14:paraId="5D0FA418">
      <w:pPr>
        <w:spacing w:before="156"/>
        <w:ind w:firstLine="480"/>
      </w:pPr>
      <w:r>
        <w:rPr>
          <w:rFonts w:hint="eastAsia"/>
        </w:rPr>
        <w:t>模锻：通过模具封闭型腔一次性成形，需在极短时间内填充复杂型腔，要求瞬时超高打击力。</w:t>
      </w:r>
    </w:p>
    <w:p w14:paraId="3C171744">
      <w:pPr>
        <w:spacing w:before="156"/>
        <w:ind w:firstLine="480"/>
      </w:pPr>
      <w:r>
        <w:rPr>
          <w:rFonts w:hint="eastAsia"/>
        </w:rPr>
        <w:t>典型打击力范围：小型模锻锤：几百至上千kN（如1吨模锻锤打击力约800~1500 kN）。大型模锻压力机：几万至数十万千牛（如5万吨模锻压机最大力达500 MN）。</w:t>
      </w:r>
    </w:p>
    <w:p w14:paraId="5CE470C8">
      <w:pPr>
        <w:spacing w:before="156"/>
        <w:ind w:firstLine="480"/>
      </w:pPr>
      <w:r>
        <w:rPr>
          <w:rFonts w:hint="eastAsia"/>
        </w:rPr>
        <w:t>在相同工件尺寸条件下，模锻工艺所需的打击力通常是自由锻的5~20倍。这一显著差异主要源于两种锻造方式的受力特性不同：自由锻加工时，锻锤直接打击高温锻件，由于热金属具有优异的塑性变形能力，金属流动时产生的变形抗力相对较小，同时高温工件会通过塑性变形吸收大量冲击能量，从而显著减小对设备的反作用力；而模锻工艺由于采用封闭式锻模，在打击瞬间，高温坯料会迅速与常温模具表面接触，产生剧烈的"冷击"效应（thermal shock），这不仅会增大金属流动的摩擦阻力，还会因模具约束导致应力集中，最终形成极高的峰值打击力。此外，模锻过程中金属材料需要完全填充型腔的强制流动特性，也是造成其打击力显著增大的重要原因。例如：锻造一个中型齿轮坯，自由锻可能需多次累计打击力1000 kN，而模锻可能需单次瞬时打击力10,000 kN。</w:t>
      </w:r>
    </w:p>
    <w:p w14:paraId="488318E7">
      <w:pPr>
        <w:pStyle w:val="4"/>
        <w:spacing w:before="156"/>
      </w:pPr>
      <w:bookmarkStart w:id="43" w:name="_Toc206578565"/>
      <w:bookmarkStart w:id="44" w:name="_Toc207010481"/>
      <w:r>
        <w:rPr>
          <w:rFonts w:hint="eastAsia"/>
        </w:rPr>
        <w:t>3</w:t>
      </w:r>
      <w:r>
        <w:t xml:space="preserve">.2 </w:t>
      </w:r>
      <w:r>
        <w:rPr>
          <w:rFonts w:hint="eastAsia"/>
        </w:rPr>
        <w:t>地基与基础设计原则</w:t>
      </w:r>
      <w:bookmarkEnd w:id="43"/>
      <w:bookmarkEnd w:id="44"/>
    </w:p>
    <w:p w14:paraId="65F2E56D">
      <w:pPr>
        <w:spacing w:before="156"/>
        <w:ind w:firstLine="480"/>
      </w:pPr>
      <w:bookmarkStart w:id="45" w:name="_Toc206578566"/>
      <w:r>
        <w:rPr>
          <w:rFonts w:hint="eastAsia"/>
        </w:rPr>
        <w:t>3.2.1 设计等级划分</w:t>
      </w:r>
    </w:p>
    <w:p w14:paraId="32587F9C">
      <w:pPr>
        <w:spacing w:before="156"/>
        <w:ind w:firstLine="480"/>
      </w:pPr>
      <w:r>
        <w:rPr>
          <w:rFonts w:hint="eastAsia"/>
        </w:rPr>
        <w:t>锻锤基础的设计等级划分综合考虑了锻锤的规模、地基条件、周边环境复杂性及施工难度等因素，旨在区分不同工程的设计深度和控制要求。</w:t>
      </w:r>
    </w:p>
    <w:p w14:paraId="72670753">
      <w:pPr>
        <w:spacing w:before="156"/>
        <w:ind w:firstLine="480"/>
      </w:pPr>
      <w:r>
        <w:rPr>
          <w:rFonts w:hint="eastAsia"/>
        </w:rPr>
        <w:t>甲级：适用于特大型锻锤、复杂地质条件、深基坑、邻近重要建筑物或对环境振动控制要求极高的项目，需进行全面的静力与动力分析、变形验算及专项论证。</w:t>
      </w:r>
    </w:p>
    <w:p w14:paraId="54A613A3">
      <w:pPr>
        <w:spacing w:before="156"/>
        <w:ind w:firstLine="480"/>
      </w:pPr>
      <w:r>
        <w:rPr>
          <w:rFonts w:hint="eastAsia"/>
        </w:rPr>
        <w:t>乙级：适用于大多数中型至大型锻锤基础，需进行常规的静力与动力验算。</w:t>
      </w:r>
    </w:p>
    <w:p w14:paraId="40BA934F">
      <w:pPr>
        <w:spacing w:before="156"/>
        <w:ind w:firstLine="480"/>
      </w:pPr>
      <w:r>
        <w:rPr>
          <w:rFonts w:hint="eastAsia"/>
        </w:rPr>
        <w:t>丙级：适用于小型锻锤、地质条件简单、无特殊环境要求的项目，可适当简化计算，但仍需满足基本安全与使用功能要求。</w:t>
      </w:r>
    </w:p>
    <w:p w14:paraId="5A2FBDF7">
      <w:pPr>
        <w:spacing w:before="156"/>
        <w:ind w:firstLine="480"/>
      </w:pPr>
      <w:r>
        <w:rPr>
          <w:rFonts w:hint="eastAsia"/>
        </w:rPr>
        <w:t>设计等级的划分有助于合理分配设计资源，确保工程安全与经济性的平衡。</w:t>
      </w:r>
    </w:p>
    <w:p w14:paraId="73350AAB">
      <w:pPr>
        <w:spacing w:before="156"/>
        <w:ind w:firstLine="480"/>
      </w:pPr>
      <w:r>
        <w:rPr>
          <w:rFonts w:hint="eastAsia"/>
        </w:rPr>
        <w:t>3.2.2 变形验算与稳定性要求</w:t>
      </w:r>
    </w:p>
    <w:p w14:paraId="54E72600">
      <w:pPr>
        <w:spacing w:before="156"/>
        <w:ind w:firstLine="480"/>
      </w:pPr>
      <w:r>
        <w:rPr>
          <w:rFonts w:hint="eastAsia"/>
        </w:rPr>
        <w:t>甲级和乙级基础必须进行变形验算，以确保在使用过程中不会因不均匀沉降影响设备正常运行或结构安全。</w:t>
      </w:r>
    </w:p>
    <w:p w14:paraId="02566C3F">
      <w:pPr>
        <w:spacing w:before="156"/>
        <w:ind w:firstLine="480"/>
      </w:pPr>
      <w:r>
        <w:rPr>
          <w:rFonts w:hint="eastAsia"/>
        </w:rPr>
        <w:t>丙级基础在特定情况下（如地基承载力较低、存在堆载或填土等）也需进行变形验算，防止潜在风险。</w:t>
      </w:r>
    </w:p>
    <w:p w14:paraId="48835C77">
      <w:pPr>
        <w:spacing w:before="156"/>
        <w:ind w:firstLine="480"/>
      </w:pPr>
    </w:p>
    <w:p w14:paraId="727F282E">
      <w:pPr>
        <w:spacing w:before="156"/>
        <w:ind w:firstLine="480"/>
      </w:pPr>
      <w:r>
        <w:rPr>
          <w:rFonts w:hint="eastAsia"/>
        </w:rPr>
        <w:t>斜坡或边坡附近的基础需进行稳定性验算，防止滑坡或倾覆；坑式基础需验算抗浮稳定性，防止地下水浮力导致基础上浮。</w:t>
      </w:r>
    </w:p>
    <w:p w14:paraId="0740A2E0">
      <w:pPr>
        <w:spacing w:before="156"/>
        <w:ind w:firstLine="480"/>
      </w:pPr>
      <w:r>
        <w:rPr>
          <w:rFonts w:hint="eastAsia"/>
        </w:rPr>
        <w:t>3.2.3 本条内容与《建筑地基基础设计规范》GB 50007、《动力机器基础设计标准》GB 50040 等现行国家标准保持协调，确保设计原则的一致性和互补性。</w:t>
      </w:r>
    </w:p>
    <w:p w14:paraId="2D2F0A37">
      <w:pPr>
        <w:pStyle w:val="4"/>
        <w:spacing w:before="156"/>
      </w:pPr>
      <w:bookmarkStart w:id="46" w:name="_Toc207010482"/>
      <w:r>
        <w:rPr>
          <w:rFonts w:hint="eastAsia"/>
        </w:rPr>
        <w:t>3</w:t>
      </w:r>
      <w:r>
        <w:t xml:space="preserve">.3 </w:t>
      </w:r>
      <w:r>
        <w:rPr>
          <w:rFonts w:hint="eastAsia"/>
        </w:rPr>
        <w:t>基础材料</w:t>
      </w:r>
      <w:bookmarkEnd w:id="45"/>
      <w:bookmarkEnd w:id="46"/>
    </w:p>
    <w:p w14:paraId="2E9211AF">
      <w:pPr>
        <w:spacing w:before="156"/>
        <w:ind w:firstLine="480"/>
      </w:pPr>
      <w:r>
        <w:t xml:space="preserve">3.3.1 </w:t>
      </w:r>
      <w:r>
        <w:rPr>
          <w:rFonts w:hint="eastAsia"/>
        </w:rPr>
        <w:t>锻锤基础宜采用整体式混凝土结构。对于砧座下方等直接承受冲击荷载的部位，应提高混凝土强度等级，规定不应低于 C35；对于基坑侧壁等非直接受冲击部分，可按《混凝土结构设计标准》GB/T 50010 的一般要求，采用 C30 即可。</w:t>
      </w:r>
    </w:p>
    <w:p w14:paraId="1EBDF726">
      <w:pPr>
        <w:spacing w:before="156"/>
        <w:ind w:firstLine="480"/>
      </w:pPr>
      <w:r>
        <w:t xml:space="preserve">3.3.2 </w:t>
      </w:r>
      <w:r>
        <w:rPr>
          <w:rFonts w:hint="eastAsia"/>
        </w:rPr>
        <w:t>当锻锤基础位于地下水位较高或潮湿环境时，应采用防水混凝土。抗渗等级一般不应低于P6；对于高地下水压或腐蚀性环境等特殊情况，不宜低于P8。</w:t>
      </w:r>
    </w:p>
    <w:p w14:paraId="74003CCA">
      <w:pPr>
        <w:spacing w:before="156"/>
        <w:ind w:firstLine="480"/>
      </w:pPr>
      <w:r>
        <w:t xml:space="preserve">3.3.3 </w:t>
      </w:r>
      <w:r>
        <w:rPr>
          <w:rFonts w:hint="eastAsia"/>
        </w:rPr>
        <w:t>锻锤基础中的预埋件、支承结构等钢结构材料，宜采用Q235B或Q355B等低合金高强度结构钢，以保证良好的焊接性和抗冲击性。</w:t>
      </w:r>
    </w:p>
    <w:p w14:paraId="7E444AAE">
      <w:pPr>
        <w:pStyle w:val="4"/>
        <w:spacing w:before="156"/>
      </w:pPr>
      <w:bookmarkStart w:id="47" w:name="_Toc206578567"/>
      <w:bookmarkStart w:id="48" w:name="_Toc207010483"/>
      <w:r>
        <w:rPr>
          <w:rFonts w:hint="eastAsia"/>
        </w:rPr>
        <w:t>3</w:t>
      </w:r>
      <w:r>
        <w:t xml:space="preserve">.4 </w:t>
      </w:r>
      <w:r>
        <w:rPr>
          <w:rFonts w:hint="eastAsia"/>
        </w:rPr>
        <w:t>基础方案</w:t>
      </w:r>
      <w:bookmarkEnd w:id="47"/>
      <w:bookmarkEnd w:id="48"/>
    </w:p>
    <w:p w14:paraId="6A5E0C71">
      <w:pPr>
        <w:spacing w:before="156"/>
        <w:ind w:firstLine="482"/>
      </w:pPr>
      <w:r>
        <w:rPr>
          <w:rFonts w:hint="eastAsia"/>
          <w:b/>
        </w:rPr>
        <w:t>3.</w:t>
      </w:r>
      <w:r>
        <w:rPr>
          <w:b/>
        </w:rPr>
        <w:t>4</w:t>
      </w:r>
      <w:r>
        <w:rPr>
          <w:rFonts w:hint="eastAsia"/>
          <w:b/>
        </w:rPr>
        <w:t>.1</w:t>
      </w:r>
      <w:r>
        <w:rPr>
          <w:rFonts w:hint="eastAsia"/>
        </w:rPr>
        <w:t>　锻锤基础的防振要求是选择基础方案的首要依据。不同类型的锻锤（如自由锻锤、模锻锤）及其工作特性（如冲击能量、频率、工作制度）对基础的振动控制要求不同，需结合工程实际情况综合确定。</w:t>
      </w:r>
    </w:p>
    <w:p w14:paraId="4A4D8E75">
      <w:pPr>
        <w:spacing w:before="156"/>
        <w:ind w:firstLine="482"/>
      </w:pPr>
      <w:r>
        <w:rPr>
          <w:b/>
        </w:rPr>
        <w:t xml:space="preserve">3.4.2 </w:t>
      </w:r>
      <w:r>
        <w:rPr>
          <w:rFonts w:hint="eastAsia"/>
        </w:rPr>
        <w:t>锻锤基础主要分为刚性基础和隔振基础两大类。刚性基础依靠其自身质量、刚度和埋深来吸收和传递冲击能量，适用于振动控制要求不高的场合。隔振基础则通过设置隔振器（如弹簧、橡胶垫等）来隔离振动传递，适用于对振动敏感的环境。</w:t>
      </w:r>
    </w:p>
    <w:p w14:paraId="0064B0EC">
      <w:pPr>
        <w:spacing w:before="156"/>
        <w:ind w:firstLine="480"/>
      </w:pPr>
      <w:r>
        <w:rPr>
          <w:rFonts w:hint="eastAsia"/>
        </w:rPr>
        <w:t>直接隔振：隔振器设置在设备与基础之间，结构简单，适用于中小型锻锤。</w:t>
      </w:r>
    </w:p>
    <w:p w14:paraId="14EC70D3">
      <w:pPr>
        <w:spacing w:before="156"/>
        <w:ind w:firstLine="480"/>
      </w:pPr>
      <w:r>
        <w:rPr>
          <w:rFonts w:hint="eastAsia"/>
        </w:rPr>
        <w:t>间接隔振：隔振器设置在配重块与基坑之间，隔振效果更好，适用于大型锻锤或高防振要求的场合。</w:t>
      </w:r>
    </w:p>
    <w:p w14:paraId="4DB11682">
      <w:pPr>
        <w:spacing w:before="156"/>
        <w:ind w:firstLine="480"/>
      </w:pPr>
      <w:r>
        <w:rPr>
          <w:rFonts w:hint="eastAsia"/>
        </w:rPr>
        <w:t>图3.4.2直观展示了三种基础方案的构造形式，便于设计人员理解与选用。</w:t>
      </w:r>
    </w:p>
    <w:p w14:paraId="72944565">
      <w:pPr>
        <w:spacing w:before="156"/>
        <w:ind w:firstLine="482"/>
      </w:pPr>
      <w:r>
        <w:rPr>
          <w:b/>
        </w:rPr>
        <w:t xml:space="preserve">3.4.3 </w:t>
      </w:r>
      <w:r>
        <w:rPr>
          <w:rFonts w:hint="eastAsia"/>
        </w:rPr>
        <w:t>本条规定了不同防振要求下推荐采用的基础方案。表格3.4.3总结了三种方案的适用条件：</w:t>
      </w:r>
    </w:p>
    <w:p w14:paraId="07E04030">
      <w:pPr>
        <w:spacing w:before="156"/>
        <w:ind w:firstLine="480"/>
      </w:pPr>
      <w:r>
        <w:rPr>
          <w:rFonts w:hint="eastAsia"/>
        </w:rPr>
        <w:t>非隔振刚性基础：适用于防振要求低的场合，结构简单、造价低。</w:t>
      </w:r>
    </w:p>
    <w:p w14:paraId="618BAE16">
      <w:pPr>
        <w:spacing w:before="156"/>
        <w:ind w:firstLine="480"/>
      </w:pPr>
      <w:r>
        <w:rPr>
          <w:rFonts w:hint="eastAsia"/>
        </w:rPr>
        <w:t>直接隔振基础：适用于中等防振要求，结构较简单，隔振效果明显。</w:t>
      </w:r>
    </w:p>
    <w:p w14:paraId="60250F78">
      <w:pPr>
        <w:spacing w:before="156"/>
        <w:ind w:firstLine="480"/>
      </w:pPr>
      <w:r>
        <w:rPr>
          <w:rFonts w:hint="eastAsia"/>
        </w:rPr>
        <w:t>间接隔振基础：适用于高防振要求，隔振效率高，但结构复杂、造价较高。</w:t>
      </w:r>
    </w:p>
    <w:p w14:paraId="7A766EC5">
      <w:pPr>
        <w:spacing w:before="156"/>
        <w:ind w:firstLine="480"/>
      </w:pPr>
      <w:r>
        <w:rPr>
          <w:rFonts w:hint="eastAsia"/>
        </w:rPr>
        <w:t>设计时应根据锻锤类型、场地条件、环境敏感度等因素综合选择，必要时可通过振动仿真或试验验证方案可行性。</w:t>
      </w:r>
    </w:p>
    <w:p w14:paraId="3F596A55">
      <w:pPr>
        <w:pStyle w:val="4"/>
        <w:spacing w:before="156"/>
      </w:pPr>
      <w:bookmarkStart w:id="49" w:name="_Toc206578568"/>
      <w:bookmarkStart w:id="50" w:name="_Toc207010484"/>
      <w:r>
        <w:rPr>
          <w:rFonts w:hint="eastAsia"/>
        </w:rPr>
        <w:t>3</w:t>
      </w:r>
      <w:r>
        <w:t xml:space="preserve">.5 </w:t>
      </w:r>
      <w:r>
        <w:rPr>
          <w:rFonts w:hint="eastAsia"/>
        </w:rPr>
        <w:t>容许振动标准</w:t>
      </w:r>
      <w:bookmarkEnd w:id="49"/>
      <w:bookmarkEnd w:id="50"/>
    </w:p>
    <w:p w14:paraId="33FC03A5">
      <w:pPr>
        <w:spacing w:before="156"/>
        <w:ind w:firstLine="480"/>
      </w:pPr>
      <w:r>
        <w:t xml:space="preserve">3.5.1 </w:t>
      </w:r>
      <w:r>
        <w:rPr>
          <w:rFonts w:hint="eastAsia"/>
        </w:rPr>
        <w:t>本条规定了锻锤基础振动控制的基本要求，适用于锻锤设备基础在冲击荷载作用下的振动响应控制。振动控制标准依据现行国家标准《建筑工程容许振动标准》GB 50868，并结合锻锤设备的工艺特点和使用环境制定。</w:t>
      </w:r>
    </w:p>
    <w:p w14:paraId="508B2333">
      <w:pPr>
        <w:spacing w:before="156"/>
        <w:ind w:firstLine="480"/>
      </w:pPr>
      <w:r>
        <w:rPr>
          <w:rFonts w:hint="eastAsia"/>
        </w:rPr>
        <w:t>3.5.2 本条规定了振动控制原则，锻锤基础的振动控制应综合考虑以下因素：</w:t>
      </w:r>
    </w:p>
    <w:p w14:paraId="6A7CA158">
      <w:pPr>
        <w:spacing w:before="156"/>
        <w:ind w:firstLine="480"/>
      </w:pPr>
      <w:r>
        <w:rPr>
          <w:rFonts w:hint="eastAsia"/>
        </w:rPr>
        <w:t>设备正常运行所需的振动限值；操作人员舒适性与健康保护；周边建筑物、精密仪器设备的防振要求；环境保护与职业健康相关标准。</w:t>
      </w:r>
    </w:p>
    <w:p w14:paraId="1199E340">
      <w:pPr>
        <w:spacing w:before="156"/>
        <w:ind w:firstLine="480"/>
      </w:pPr>
      <w:r>
        <w:rPr>
          <w:rFonts w:hint="eastAsia"/>
        </w:rPr>
        <w:t>3.5.3 容许振动值的确定：</w:t>
      </w:r>
    </w:p>
    <w:p w14:paraId="57AFC3F9">
      <w:pPr>
        <w:spacing w:before="156"/>
        <w:ind w:firstLine="480"/>
      </w:pPr>
      <w:r>
        <w:rPr>
          <w:rFonts w:hint="eastAsia"/>
        </w:rPr>
        <w:t>不隔振刚性基础的容许振动值（表3.5.3-1）主要依据锻锤类型（模锻/自由锻）及其对基础的冲击特性确定。模锻锤因打击能量大、频率高，其容许振动值略高于自由锻锤。</w:t>
      </w:r>
    </w:p>
    <w:p w14:paraId="08E062A3">
      <w:pPr>
        <w:spacing w:before="156"/>
        <w:ind w:firstLine="480"/>
      </w:pPr>
      <w:r>
        <w:rPr>
          <w:rFonts w:hint="eastAsia"/>
        </w:rPr>
        <w:t>隔振基础下部基坑的容许振动值（表3.5.3-2）考虑了隔振系统对振动能量的衰减作用，其限值较不隔振基础更为严格，以确保隔振效果。</w:t>
      </w:r>
    </w:p>
    <w:p w14:paraId="38DC8A9F">
      <w:pPr>
        <w:spacing w:before="156"/>
        <w:ind w:firstLine="480"/>
      </w:pPr>
      <w:r>
        <w:rPr>
          <w:rFonts w:hint="eastAsia"/>
        </w:rPr>
        <w:t>隔振基础上部的振动控制应直接引用GB 50868中关于工业设备区域的振动限值，确保设备正常运行和人员操作安全。</w:t>
      </w:r>
    </w:p>
    <w:p w14:paraId="5374980B">
      <w:pPr>
        <w:spacing w:before="156"/>
        <w:ind w:firstLine="480"/>
      </w:pPr>
      <w:r>
        <w:rPr>
          <w:rFonts w:hint="eastAsia"/>
        </w:rPr>
        <w:t>3.5.4 振动控制点的选取</w:t>
      </w:r>
    </w:p>
    <w:p w14:paraId="71A5E3B5">
      <w:pPr>
        <w:spacing w:before="156"/>
        <w:ind w:firstLine="480"/>
      </w:pPr>
      <w:r>
        <w:rPr>
          <w:rFonts w:hint="eastAsia"/>
        </w:rPr>
        <w:t>振动控制点应设置在能真实反映设备运行状态和振动传播特征的位置，通常包括：基础顶面中心或角点；隔振器上下端；邻近敏感建筑或设备的基础或地面。</w:t>
      </w:r>
    </w:p>
    <w:p w14:paraId="7991DC3C">
      <w:pPr>
        <w:spacing w:before="156"/>
        <w:ind w:firstLine="480"/>
      </w:pPr>
      <w:r>
        <w:rPr>
          <w:rFonts w:hint="eastAsia"/>
        </w:rPr>
        <w:t>3.5.5 时间划分说明</w:t>
      </w:r>
    </w:p>
    <w:p w14:paraId="6BBADF22">
      <w:pPr>
        <w:spacing w:before="156"/>
        <w:ind w:firstLine="480"/>
      </w:pPr>
      <w:r>
        <w:rPr>
          <w:rFonts w:hint="eastAsia"/>
        </w:rPr>
        <w:t>本条中“昼间”与“夜间”的时间划分依据地方政府规定，若无明确规定，则按6时至22时为昼间、22时至次日6时为夜间执行。此划分主要用于环境振动评估中考虑不同时段的人体敏感度差异。</w:t>
      </w:r>
    </w:p>
    <w:p w14:paraId="112D07D4">
      <w:pPr>
        <w:spacing w:before="156"/>
        <w:ind w:firstLine="480"/>
      </w:pPr>
      <w:r>
        <w:rPr>
          <w:rFonts w:hint="eastAsia"/>
        </w:rPr>
        <w:t>3.5.6 与其他标准的协调，本条规定与《建筑振动荷载标准》GB/T 51228、《动力机器基础设计标准》GB 50040等标准相协调，确保振动荷载取值、动力分析方法和振动控制目标的一致性。</w:t>
      </w:r>
    </w:p>
    <w:p w14:paraId="05158905">
      <w:pPr>
        <w:pStyle w:val="3"/>
      </w:pPr>
      <w:bookmarkStart w:id="51" w:name="_Toc206578569"/>
      <w:r>
        <w:t xml:space="preserve">4 </w:t>
      </w:r>
      <w:r>
        <w:rPr>
          <w:rFonts w:hint="eastAsia"/>
        </w:rPr>
        <w:t>地基动力特征参数</w:t>
      </w:r>
      <w:bookmarkEnd w:id="51"/>
    </w:p>
    <w:p w14:paraId="26363624">
      <w:pPr>
        <w:pStyle w:val="4"/>
        <w:spacing w:before="156"/>
      </w:pPr>
      <w:bookmarkStart w:id="52" w:name="_Toc206578570"/>
      <w:r>
        <w:t>4.1</w:t>
      </w:r>
      <w:r>
        <w:rPr>
          <w:rFonts w:hint="eastAsia"/>
        </w:rPr>
        <w:t>一般规定</w:t>
      </w:r>
      <w:bookmarkEnd w:id="52"/>
    </w:p>
    <w:p w14:paraId="5D9A3B7A">
      <w:pPr>
        <w:spacing w:before="156"/>
        <w:ind w:firstLine="482"/>
      </w:pPr>
      <w:r>
        <w:rPr>
          <w:rFonts w:cs="Times New Roman"/>
          <w:b/>
          <w:bCs/>
          <w:szCs w:val="24"/>
        </w:rPr>
        <w:t>4.1.1</w:t>
      </w:r>
      <w:r>
        <w:t>　</w:t>
      </w:r>
      <w:r>
        <w:rPr>
          <w:rFonts w:hint="eastAsia"/>
        </w:rPr>
        <w:t>本条明确了地基动力特征参数的主要内容，包括地基刚度、阻尼比、参振质量等。这些参数是进行动力响应分析的基础，其准确性直接影响到锻锤基础设计的合理性与安全性。</w:t>
      </w:r>
    </w:p>
    <w:p w14:paraId="75CABB6A">
      <w:pPr>
        <w:spacing w:before="156"/>
        <w:ind w:firstLine="482"/>
      </w:pPr>
      <w:r>
        <w:rPr>
          <w:rFonts w:hint="eastAsia" w:cs="Times New Roman"/>
          <w:b/>
          <w:bCs/>
          <w:szCs w:val="24"/>
        </w:rPr>
        <w:t>4.1.2</w:t>
      </w:r>
      <w:r>
        <w:rPr>
          <w:rFonts w:hint="eastAsia"/>
        </w:rPr>
        <w:t xml:space="preserve"> 强调优先通过原位试验确定动力参数，尤其是对于冲击型设备基础，推荐采用自由振动试验法。对于复杂地层，波速测试是获取土体动力本构参数的有效手段。</w:t>
      </w:r>
    </w:p>
    <w:p w14:paraId="73A18F14">
      <w:pPr>
        <w:spacing w:before="156"/>
        <w:ind w:firstLine="482"/>
      </w:pPr>
      <w:r>
        <w:rPr>
          <w:rFonts w:hint="eastAsia"/>
          <w:b/>
        </w:rPr>
        <w:t>4.1.3</w:t>
      </w:r>
      <w:r>
        <w:rPr>
          <w:rFonts w:hint="eastAsia"/>
        </w:rPr>
        <w:t xml:space="preserve"> 在无法进行现场试验时，允许参照《动力机器基础设计标准》GB 50040 的相关规定取值，但需注意其适用性与局限性。</w:t>
      </w:r>
    </w:p>
    <w:p w14:paraId="7E441F75">
      <w:pPr>
        <w:spacing w:before="156" w:line="240" w:lineRule="auto"/>
        <w:ind w:firstLine="0" w:firstLineChars="0"/>
        <w:jc w:val="center"/>
        <w:outlineLvl w:val="2"/>
        <w:rPr>
          <w:bCs/>
          <w:sz w:val="28"/>
          <w:szCs w:val="32"/>
        </w:rPr>
      </w:pPr>
      <w:bookmarkStart w:id="53" w:name="_Toc206578571"/>
      <w:r>
        <w:rPr>
          <w:bCs/>
          <w:sz w:val="28"/>
          <w:szCs w:val="32"/>
        </w:rPr>
        <w:t xml:space="preserve">4.2 </w:t>
      </w:r>
      <w:r>
        <w:rPr>
          <w:rFonts w:hint="eastAsia"/>
          <w:bCs/>
          <w:sz w:val="28"/>
          <w:szCs w:val="32"/>
        </w:rPr>
        <w:t>地基土分类</w:t>
      </w:r>
      <w:bookmarkEnd w:id="53"/>
    </w:p>
    <w:p w14:paraId="25FEECBF">
      <w:pPr>
        <w:spacing w:before="156"/>
        <w:ind w:firstLine="480"/>
      </w:pPr>
      <w:r>
        <w:t>4.2</w:t>
      </w:r>
      <w:r>
        <w:rPr>
          <w:rFonts w:hint="eastAsia"/>
        </w:rPr>
        <w:t>.</w:t>
      </w:r>
      <w:r>
        <w:t>1</w:t>
      </w:r>
      <w:r>
        <w:rPr>
          <w:rFonts w:hint="eastAsia"/>
        </w:rPr>
        <w:t>~4.2.2 地基土分类是确定动力参数的基础。该分类表结合地基承载力特征值</w:t>
      </w:r>
      <m:oMath>
        <m:sSub>
          <m:sSubPr>
            <m:ctrlPr>
              <w:rPr>
                <w:rFonts w:ascii="Cambria Math" w:hAnsi="Cambria Math"/>
                <w:i/>
              </w:rPr>
            </m:ctrlPr>
          </m:sSubPr>
          <m:e>
            <m:r>
              <m:rPr/>
              <w:rPr>
                <w:rFonts w:hint="eastAsia" w:ascii="Cambria Math" w:hAnsi="Cambria Math"/>
              </w:rPr>
              <m:t>f</m:t>
            </m:r>
            <m:ctrlPr>
              <w:rPr>
                <w:rFonts w:ascii="Cambria Math" w:hAnsi="Cambria Math"/>
                <w:i/>
              </w:rPr>
            </m:ctrlPr>
          </m:e>
          <m:sub>
            <m:r>
              <m:rPr/>
              <w:rPr>
                <w:rFonts w:ascii="Cambria Math" w:hAnsi="Cambria Math"/>
              </w:rPr>
              <m:t>ak</m:t>
            </m:r>
            <m:ctrlPr>
              <w:rPr>
                <w:rFonts w:ascii="Cambria Math" w:hAnsi="Cambria Math"/>
                <w:i/>
              </w:rPr>
            </m:ctrlPr>
          </m:sub>
        </m:sSub>
      </m:oMath>
      <w:r>
        <w:rPr>
          <w:rFonts w:hint="eastAsia"/>
        </w:rPr>
        <w:t>和土类名称，将地基土分为四类，便于后续刚度系数、阻尼比等参数的取值。</w:t>
      </w:r>
    </w:p>
    <w:p w14:paraId="6CA2CBD8">
      <w:pPr>
        <w:pStyle w:val="4"/>
        <w:spacing w:before="156"/>
      </w:pPr>
      <w:bookmarkStart w:id="54" w:name="_Toc167807902"/>
      <w:bookmarkStart w:id="55" w:name="_Toc156575223"/>
      <w:bookmarkStart w:id="56" w:name="_Toc171062771"/>
      <w:bookmarkStart w:id="57" w:name="_Toc169011914"/>
      <w:bookmarkStart w:id="58" w:name="_Toc171197619"/>
      <w:bookmarkStart w:id="59" w:name="_Toc171197724"/>
      <w:bookmarkStart w:id="60" w:name="_Toc206578572"/>
      <w:r>
        <w:t>4.3　</w:t>
      </w:r>
      <w:bookmarkEnd w:id="54"/>
      <w:bookmarkEnd w:id="55"/>
      <w:bookmarkEnd w:id="56"/>
      <w:bookmarkEnd w:id="57"/>
      <w:bookmarkEnd w:id="58"/>
      <w:bookmarkEnd w:id="59"/>
      <w:r>
        <w:rPr>
          <w:rFonts w:hint="eastAsia"/>
        </w:rPr>
        <w:t>地基动力特性参数</w:t>
      </w:r>
      <w:bookmarkEnd w:id="60"/>
    </w:p>
    <w:p w14:paraId="3C72FDFA">
      <w:pPr>
        <w:pStyle w:val="4"/>
        <w:spacing w:before="156"/>
      </w:pPr>
      <w:r>
        <w:rPr>
          <w:rFonts w:hint="eastAsia"/>
        </w:rPr>
        <w:t>I</w:t>
      </w:r>
      <w:r>
        <w:t xml:space="preserve"> </w:t>
      </w:r>
      <w:r>
        <w:rPr>
          <w:rFonts w:hint="eastAsia"/>
        </w:rPr>
        <w:t>天然地基</w:t>
      </w:r>
    </w:p>
    <w:p w14:paraId="762A70C5">
      <w:pPr>
        <w:spacing w:before="156"/>
        <w:ind w:firstLine="482"/>
      </w:pPr>
      <w:r>
        <w:rPr>
          <w:b/>
        </w:rPr>
        <w:t>4.3.1</w:t>
      </w:r>
      <w:r>
        <w:t>　</w:t>
      </w:r>
      <w:r>
        <w:rPr>
          <w:rFonts w:hint="eastAsia"/>
        </w:rPr>
        <w:t>天然地基的动力特性参数主要包括地基刚度、阻尼比、地基参振质量等，是锻锤基础动力分析与设计的关键依据。对于振动控制要求较高的工程，宜优先通过现场试验确定，试验方法须严格遵循现行国家标准《地基动力特性测试规范》GB/T 50269 的相关规定，确保数据的可靠性与代表性。</w:t>
      </w:r>
    </w:p>
    <w:p w14:paraId="73B6B77F">
      <w:pPr>
        <w:spacing w:before="156"/>
        <w:ind w:firstLine="480"/>
      </w:pPr>
      <w:r>
        <w:rPr>
          <w:rFonts w:hint="eastAsia"/>
        </w:rPr>
        <w:t>当确实不具备现场测试条件时，允许采用本标准的经验方法进行估算。可按第4.3.2条至第4.3.9条提供的计算公式与参数取值表，根据地基土的类别、承载力特征值、基础底面积及埋置深度等条件，经计算确定天然地基的抗压刚度、阻尼比等动力参数。需注意的是，经验方法是在特定地质与荷载条件下总结得出，其适用性存在局限。因此，对于甲级设计等级的锻锤基础、复杂地层或动力响应要求严格的工程，仍应创造条件进行现场测试，以确保设计安全与经济合理。</w:t>
      </w:r>
    </w:p>
    <w:p w14:paraId="153130AA">
      <w:pPr>
        <w:spacing w:before="156"/>
        <w:ind w:firstLine="482"/>
      </w:pPr>
      <w:r>
        <w:rPr>
          <w:rFonts w:hint="eastAsia"/>
          <w:b/>
        </w:rPr>
        <w:t>4.3.2</w:t>
      </w:r>
      <w:r>
        <w:rPr>
          <w:rFonts w:hint="eastAsia"/>
        </w:rPr>
        <w:t>本条</w:t>
      </w:r>
      <w:r>
        <w:t>规定了天然地基抗压刚度系数</w:t>
      </w:r>
      <m:oMath>
        <m:sSub>
          <m:sSubPr>
            <m:ctrlPr>
              <w:rPr>
                <w:rFonts w:ascii="Cambria Math" w:hAnsi="Cambria Math"/>
              </w:rPr>
            </m:ctrlPr>
          </m:sSubPr>
          <m:e>
            <m:r>
              <m:rPr/>
              <w:rPr>
                <w:rFonts w:hint="eastAsia" w:ascii="Cambria Math" w:hAnsi="Cambria Math"/>
              </w:rPr>
              <m:t>C</m:t>
            </m:r>
            <m:ctrlPr>
              <w:rPr>
                <w:rFonts w:ascii="Cambria Math" w:hAnsi="Cambria Math"/>
              </w:rPr>
            </m:ctrlPr>
          </m:e>
          <m:sub>
            <m:r>
              <m:rPr/>
              <w:rPr>
                <w:rFonts w:hint="eastAsia" w:ascii="Cambria Math" w:hAnsi="Cambria Math"/>
              </w:rPr>
              <m:t>z</m:t>
            </m:r>
            <m:ctrlPr>
              <w:rPr>
                <w:rFonts w:ascii="Cambria Math" w:hAnsi="Cambria Math"/>
              </w:rPr>
            </m:ctrlPr>
          </m:sub>
        </m:sSub>
      </m:oMath>
      <w:r>
        <w:t>的取值方法。当基础底面积不小于20m²时，</w:t>
      </w:r>
      <m:oMath>
        <m:sSub>
          <m:sSubPr>
            <m:ctrlPr>
              <w:rPr>
                <w:rFonts w:ascii="Cambria Math" w:hAnsi="Cambria Math"/>
              </w:rPr>
            </m:ctrlPr>
          </m:sSubPr>
          <m:e>
            <m:r>
              <m:rPr/>
              <w:rPr>
                <w:rFonts w:hint="eastAsia" w:ascii="Cambria Math" w:hAnsi="Cambria Math"/>
              </w:rPr>
              <m:t>C</m:t>
            </m:r>
            <m:ctrlPr>
              <w:rPr>
                <w:rFonts w:ascii="Cambria Math" w:hAnsi="Cambria Math"/>
              </w:rPr>
            </m:ctrlPr>
          </m:e>
          <m:sub>
            <m:r>
              <m:rPr/>
              <w:rPr>
                <w:rFonts w:hint="eastAsia" w:ascii="Cambria Math" w:hAnsi="Cambria Math"/>
              </w:rPr>
              <m:t>z</m:t>
            </m:r>
            <m:ctrlPr>
              <w:rPr>
                <w:rFonts w:ascii="Cambria Math" w:hAnsi="Cambria Math"/>
              </w:rPr>
            </m:ctrlPr>
          </m:sub>
        </m:sSub>
      </m:oMath>
      <w:r>
        <w:t>值可根据地基承载力特征值</w:t>
      </w:r>
      <m:oMath>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ak</m:t>
            </m:r>
            <m:ctrlPr>
              <w:rPr>
                <w:rFonts w:ascii="Cambria Math" w:hAnsi="Cambria Math"/>
              </w:rPr>
            </m:ctrlPr>
          </m:sub>
        </m:sSub>
      </m:oMath>
      <w:r>
        <w:t>和土类按表4.3.2直接查取；当基础底面积小于20m²时，需引入底面积修正系数</w:t>
      </w:r>
      <w:r>
        <w:rPr>
          <w:rFonts w:hint="eastAsia"/>
        </w:rPr>
        <w:t>：</w:t>
      </w:r>
    </w:p>
    <w:p w14:paraId="6B9A9150">
      <w:pPr>
        <w:spacing w:before="156"/>
        <w:ind w:firstLine="480"/>
        <w:rPr>
          <w:bCs/>
        </w:rPr>
      </w:pPr>
      <m:oMathPara>
        <m:oMath>
          <m:sSub>
            <m:sSubPr>
              <m:ctrlPr>
                <w:rPr>
                  <w:rFonts w:ascii="Cambria Math" w:hAnsi="Cambria Math"/>
                  <w:bCs/>
                  <w:i/>
                </w:rPr>
              </m:ctrlPr>
            </m:sSubPr>
            <m:e>
              <m:r>
                <m:rPr/>
                <w:rPr>
                  <w:rFonts w:ascii="Cambria Math" w:hAnsi="Cambria Math"/>
                </w:rPr>
                <m:t>β</m:t>
              </m:r>
              <m:ctrlPr>
                <w:rPr>
                  <w:rFonts w:ascii="Cambria Math" w:hAnsi="Cambria Math"/>
                  <w:bCs/>
                  <w:i/>
                </w:rPr>
              </m:ctrlPr>
            </m:e>
            <m:sub>
              <m:r>
                <m:rPr/>
                <w:rPr>
                  <w:rFonts w:ascii="Cambria Math" w:hAnsi="Cambria Math"/>
                </w:rPr>
                <m:t>r</m:t>
              </m:r>
              <m:ctrlPr>
                <w:rPr>
                  <w:rFonts w:ascii="Cambria Math" w:hAnsi="Cambria Math"/>
                  <w:bCs/>
                  <w:i/>
                </w:rPr>
              </m:ctrlPr>
            </m:sub>
          </m:sSub>
          <m:r>
            <m:rPr>
              <m:sty m:val="p"/>
            </m:rPr>
            <w:rPr>
              <w:rFonts w:ascii="Cambria Math" w:hAnsi="Cambria Math"/>
            </w:rPr>
            <m:t>=</m:t>
          </m:r>
          <m:rad>
            <m:radPr>
              <m:ctrlPr>
                <w:rPr>
                  <w:rFonts w:ascii="Cambria Math" w:hAnsi="Cambria Math"/>
                  <w:bCs/>
                </w:rPr>
              </m:ctrlPr>
            </m:radPr>
            <m:deg>
              <m:r>
                <m:rPr>
                  <m:sty m:val="p"/>
                </m:rPr>
                <w:rPr>
                  <w:rFonts w:ascii="Cambria Math" w:hAnsi="Cambria Math"/>
                </w:rPr>
                <m:t>3</m:t>
              </m:r>
              <m:ctrlPr>
                <w:rPr>
                  <w:rFonts w:ascii="Cambria Math" w:hAnsi="Cambria Math"/>
                  <w:bCs/>
                </w:rPr>
              </m:ctrlPr>
            </m:deg>
            <m:e>
              <m:f>
                <m:fPr>
                  <m:ctrlPr>
                    <w:rPr>
                      <w:rFonts w:ascii="Cambria Math" w:hAnsi="Cambria Math"/>
                      <w:bCs/>
                      <w:i/>
                    </w:rPr>
                  </m:ctrlPr>
                </m:fPr>
                <m:num>
                  <m:r>
                    <m:rPr/>
                    <w:rPr>
                      <w:rFonts w:hint="eastAsia" w:ascii="Cambria Math" w:hAnsi="Cambria Math"/>
                    </w:rPr>
                    <m:t>20</m:t>
                  </m:r>
                  <m:ctrlPr>
                    <w:rPr>
                      <w:rFonts w:ascii="Cambria Math" w:hAnsi="Cambria Math"/>
                      <w:bCs/>
                      <w:i/>
                    </w:rPr>
                  </m:ctrlPr>
                </m:num>
                <m:den>
                  <m:r>
                    <m:rPr/>
                    <w:rPr>
                      <w:rFonts w:hint="eastAsia" w:ascii="Cambria Math" w:hAnsi="Cambria Math"/>
                    </w:rPr>
                    <m:t>A</m:t>
                  </m:r>
                  <m:ctrlPr>
                    <w:rPr>
                      <w:rFonts w:ascii="Cambria Math" w:hAnsi="Cambria Math"/>
                      <w:bCs/>
                      <w:i/>
                    </w:rPr>
                  </m:ctrlPr>
                </m:den>
              </m:f>
              <m:ctrlPr>
                <w:rPr>
                  <w:rFonts w:ascii="Cambria Math" w:hAnsi="Cambria Math"/>
                  <w:bCs/>
                </w:rPr>
              </m:ctrlPr>
            </m:e>
          </m:rad>
        </m:oMath>
      </m:oMathPara>
    </w:p>
    <w:p w14:paraId="68E18609">
      <w:pPr>
        <w:spacing w:before="156"/>
        <w:ind w:firstLine="480"/>
      </w:pPr>
      <w:r>
        <w:rPr>
          <w:rFonts w:hint="eastAsia"/>
        </w:rPr>
        <w:t>由此系数</w:t>
      </w:r>
      <w:r>
        <w:t>对查表值进行修正。该条文体现了地基刚度随基础尺寸变化的规律，小尺寸基础因边界效应和应力集中现象，其单位面积刚度通常大于大尺寸基础。修正系数的引入确保了不同尺寸基础下地基刚度取值的合理性与一致性，为后续动力计算提供准确依据。</w:t>
      </w:r>
    </w:p>
    <w:p w14:paraId="4F6C4900">
      <w:pPr>
        <w:spacing w:before="156"/>
        <w:ind w:firstLine="482"/>
        <w:rPr>
          <w:b/>
        </w:rPr>
      </w:pPr>
      <w:r>
        <w:rPr>
          <w:rFonts w:hint="eastAsia"/>
          <w:b/>
        </w:rPr>
        <w:t>4.3.3</w:t>
      </w:r>
      <w:r>
        <w:rPr>
          <w:b/>
        </w:rPr>
        <w:t xml:space="preserve"> </w:t>
      </w:r>
      <w:r>
        <w:rPr>
          <w:rFonts w:hint="eastAsia"/>
        </w:rPr>
        <w:t>本条规定了基础底部地基土影响深度的计算方法。对于方形基础，影响深度取基础边长的2倍；对于其他形状的基础，则按基础底面积的平方根的2倍计算。该条文旨在合理确定地基土动力参数的计算范围，确保地基刚度、阻尼比等动力特性参数取值的准确性，为锻锤基础的动力分析与设计提供可靠依据。</w:t>
      </w:r>
    </w:p>
    <w:p w14:paraId="608C0128">
      <w:pPr>
        <w:spacing w:before="156"/>
        <w:ind w:firstLine="482"/>
      </w:pPr>
      <w:r>
        <w:rPr>
          <w:rFonts w:hint="eastAsia"/>
          <w:b/>
        </w:rPr>
        <w:t xml:space="preserve">4.3.4 </w:t>
      </w:r>
      <w:r>
        <w:rPr>
          <w:rFonts w:hint="eastAsia"/>
        </w:rPr>
        <w:t>当基础影响深度范围内存在不同土层时，地基抗压刚度系数应符合本条规定的计算方法，采用加权平均法，按各土层厚度比例计算综合抗压刚度系数，以反映分层土对地基刚度的实际贡献。该方法基于弹性半空间理论和实际工程经验，确保计算结果的合理性与适用性。应用时需准确获取各土层的刚度系数及厚度数据，避免因土层参数不准确导致设计偏差。本条规定适用于天然地基中常见的不均匀土层情况，为锻锤基础的动力分析提供可靠的地基刚度参数依据。</w:t>
      </w:r>
    </w:p>
    <w:p w14:paraId="1D496A9E">
      <w:pPr>
        <w:spacing w:before="156"/>
        <w:ind w:firstLine="482"/>
      </w:pPr>
      <w:r>
        <w:rPr>
          <w:rFonts w:hint="eastAsia"/>
          <w:b/>
        </w:rPr>
        <w:t>4.3.5</w:t>
      </w:r>
      <w:r>
        <w:rPr>
          <w:rFonts w:hint="eastAsia"/>
        </w:rPr>
        <w:t xml:space="preserve"> </w:t>
      </w:r>
      <w:r>
        <w:t>天然地基抗压刚度</w:t>
      </w:r>
      <m:oMath>
        <m:sSub>
          <m:sSubPr>
            <m:ctrlPr>
              <w:rPr>
                <w:rFonts w:ascii="Cambria Math" w:hAnsi="Cambria Math"/>
              </w:rPr>
            </m:ctrlPr>
          </m:sSubPr>
          <m:e>
            <m:r>
              <m:rPr/>
              <w:rPr>
                <w:rFonts w:hint="eastAsia" w:ascii="Cambria Math" w:hAnsi="Cambria Math"/>
              </w:rPr>
              <m:t>K</m:t>
            </m:r>
            <m:ctrlPr>
              <w:rPr>
                <w:rFonts w:ascii="Cambria Math" w:hAnsi="Cambria Math"/>
              </w:rPr>
            </m:ctrlPr>
          </m:e>
          <m:sub>
            <m:r>
              <m:rPr/>
              <w:rPr>
                <w:rFonts w:hint="eastAsia" w:ascii="Cambria Math" w:hAnsi="Cambria Math"/>
              </w:rPr>
              <m:t>z</m:t>
            </m:r>
            <m:ctrlPr>
              <w:rPr>
                <w:rFonts w:ascii="Cambria Math" w:hAnsi="Cambria Math"/>
              </w:rPr>
            </m:ctrlPr>
          </m:sub>
        </m:sSub>
      </m:oMath>
      <w:r>
        <w:t>的计算方法，即</w:t>
      </w:r>
      <m:oMath>
        <m:sSub>
          <m:sSubPr>
            <m:ctrlPr>
              <w:rPr>
                <w:rFonts w:ascii="Cambria Math" w:hAnsi="Cambria Math"/>
              </w:rPr>
            </m:ctrlPr>
          </m:sSubPr>
          <m:e>
            <m:r>
              <m:rPr/>
              <w:rPr>
                <w:rFonts w:hint="eastAsia" w:ascii="Cambria Math" w:hAnsi="Cambria Math"/>
              </w:rPr>
              <m:t>K</m:t>
            </m:r>
            <m:ctrlPr>
              <w:rPr>
                <w:rFonts w:ascii="Cambria Math" w:hAnsi="Cambria Math"/>
              </w:rPr>
            </m:ctrlPr>
          </m:e>
          <m:sub>
            <m:r>
              <m:rPr/>
              <w:rPr>
                <w:rFonts w:hint="eastAsia" w:ascii="Cambria Math" w:hAnsi="Cambria Math"/>
              </w:rPr>
              <m:t>z</m:t>
            </m:r>
            <m:ctrlPr>
              <w:rPr>
                <w:rFonts w:ascii="Cambria Math" w:hAnsi="Cambria Math"/>
              </w:rPr>
            </m:ctrlPr>
          </m:sub>
        </m:sSub>
        <m:r>
          <m:rPr/>
          <w:rPr>
            <w:rFonts w:ascii="Cambria Math" w:hAnsi="Cambria Math"/>
          </w:rPr>
          <m:t>=</m:t>
        </m:r>
        <m:sSub>
          <m:sSubPr>
            <m:ctrlPr>
              <w:rPr>
                <w:rStyle w:val="57"/>
                <w:rFonts w:ascii="Cambria Math" w:hAnsi="Cambria Math" w:cs="Times New Roman"/>
                <w:bCs/>
                <w:i/>
                <w:iCs/>
                <w:color w:val="404040"/>
                <w:sz w:val="29"/>
                <w:szCs w:val="29"/>
                <w:shd w:val="clear" w:color="auto" w:fill="FFFFFF"/>
              </w:rPr>
            </m:ctrlPr>
          </m:sSubPr>
          <m:e>
            <m:r>
              <m:rPr/>
              <w:rPr>
                <w:rStyle w:val="57"/>
                <w:rFonts w:ascii="Cambria Math" w:hAnsi="Cambria Math" w:cs="Times New Roman"/>
                <w:color w:val="404040"/>
                <w:sz w:val="29"/>
                <w:szCs w:val="29"/>
                <w:shd w:val="clear" w:color="auto" w:fill="FFFFFF"/>
              </w:rPr>
              <m:t>C</m:t>
            </m:r>
            <m:ctrlPr>
              <w:rPr>
                <w:rStyle w:val="57"/>
                <w:rFonts w:ascii="Cambria Math" w:hAnsi="Cambria Math" w:cs="Times New Roman"/>
                <w:bCs/>
                <w:i/>
                <w:iCs/>
                <w:color w:val="404040"/>
                <w:sz w:val="29"/>
                <w:szCs w:val="29"/>
                <w:shd w:val="clear" w:color="auto" w:fill="FFFFFF"/>
              </w:rPr>
            </m:ctrlPr>
          </m:e>
          <m:sub>
            <m:r>
              <m:rPr/>
              <w:rPr>
                <w:rStyle w:val="57"/>
                <w:rFonts w:ascii="Cambria Math" w:hAnsi="Cambria Math" w:cs="Times New Roman"/>
                <w:color w:val="404040"/>
                <w:sz w:val="29"/>
                <w:szCs w:val="29"/>
                <w:shd w:val="clear" w:color="auto" w:fill="FFFFFF"/>
              </w:rPr>
              <m:t>z</m:t>
            </m:r>
            <m:ctrlPr>
              <w:rPr>
                <w:rStyle w:val="57"/>
                <w:rFonts w:ascii="Cambria Math" w:hAnsi="Cambria Math" w:cs="Times New Roman"/>
                <w:bCs/>
                <w:i/>
                <w:iCs/>
                <w:color w:val="404040"/>
                <w:sz w:val="29"/>
                <w:szCs w:val="29"/>
                <w:shd w:val="clear" w:color="auto" w:fill="FFFFFF"/>
              </w:rPr>
            </m:ctrlPr>
          </m:sub>
        </m:sSub>
        <m:r>
          <m:rPr>
            <m:sty m:val="p"/>
          </m:rPr>
          <w:rPr>
            <w:rStyle w:val="58"/>
            <w:rFonts w:ascii="Cambria Math" w:hAnsi="Cambria Math" w:cs="Times New Roman"/>
            <w:color w:val="404040"/>
            <w:sz w:val="2"/>
            <w:szCs w:val="2"/>
            <w:shd w:val="clear" w:color="auto" w:fill="FFFFFF"/>
          </w:rPr>
          <m:t>​</m:t>
        </m:r>
        <m:r>
          <m:rPr>
            <m:sty m:val="p"/>
          </m:rPr>
          <w:rPr>
            <w:rStyle w:val="158"/>
            <w:rFonts w:ascii="Cambria Math" w:hAnsi="Cambria Math" w:cs="Cambria Math"/>
            <w:color w:val="404040"/>
            <w:sz w:val="29"/>
            <w:szCs w:val="29"/>
            <w:shd w:val="clear" w:color="auto" w:fill="FFFFFF"/>
          </w:rPr>
          <m:t>⋅</m:t>
        </m:r>
        <m:r>
          <m:rPr/>
          <w:rPr>
            <w:rStyle w:val="57"/>
            <w:rFonts w:ascii="Cambria Math" w:hAnsi="Cambria Math" w:cs="Times New Roman"/>
            <w:color w:val="404040"/>
            <w:sz w:val="29"/>
            <w:szCs w:val="29"/>
            <w:shd w:val="clear" w:color="auto" w:fill="FFFFFF"/>
          </w:rPr>
          <m:t>A</m:t>
        </m:r>
      </m:oMath>
      <w:r>
        <w:rPr>
          <w:rStyle w:val="57"/>
          <w:rFonts w:hint="eastAsia"/>
          <w:bCs/>
          <w:iCs/>
          <w:color w:val="404040"/>
          <w:sz w:val="29"/>
          <w:szCs w:val="29"/>
          <w:shd w:val="clear" w:color="auto" w:fill="FFFFFF"/>
        </w:rPr>
        <w:t>，</w:t>
      </w:r>
      <w:r>
        <w:t>其中</w:t>
      </w:r>
      <m:oMath>
        <m:sSub>
          <m:sSubPr>
            <m:ctrlPr>
              <w:rPr>
                <w:rStyle w:val="57"/>
                <w:rFonts w:ascii="Cambria Math" w:hAnsi="Cambria Math" w:cs="Times New Roman"/>
                <w:bCs/>
                <w:i/>
                <w:iCs/>
                <w:color w:val="404040"/>
                <w:sz w:val="29"/>
                <w:szCs w:val="29"/>
                <w:shd w:val="clear" w:color="auto" w:fill="FFFFFF"/>
              </w:rPr>
            </m:ctrlPr>
          </m:sSubPr>
          <m:e>
            <m:r>
              <m:rPr/>
              <w:rPr>
                <w:rStyle w:val="57"/>
                <w:rFonts w:ascii="Cambria Math" w:hAnsi="Cambria Math" w:cs="Times New Roman"/>
                <w:color w:val="404040"/>
                <w:sz w:val="29"/>
                <w:szCs w:val="29"/>
                <w:shd w:val="clear" w:color="auto" w:fill="FFFFFF"/>
              </w:rPr>
              <m:t>C</m:t>
            </m:r>
            <m:ctrlPr>
              <w:rPr>
                <w:rStyle w:val="57"/>
                <w:rFonts w:ascii="Cambria Math" w:hAnsi="Cambria Math" w:cs="Times New Roman"/>
                <w:bCs/>
                <w:i/>
                <w:iCs/>
                <w:color w:val="404040"/>
                <w:sz w:val="29"/>
                <w:szCs w:val="29"/>
                <w:shd w:val="clear" w:color="auto" w:fill="FFFFFF"/>
              </w:rPr>
            </m:ctrlPr>
          </m:e>
          <m:sub>
            <m:r>
              <m:rPr/>
              <w:rPr>
                <w:rStyle w:val="57"/>
                <w:rFonts w:ascii="Cambria Math" w:hAnsi="Cambria Math" w:cs="Times New Roman"/>
                <w:color w:val="404040"/>
                <w:sz w:val="29"/>
                <w:szCs w:val="29"/>
                <w:shd w:val="clear" w:color="auto" w:fill="FFFFFF"/>
              </w:rPr>
              <m:t>z</m:t>
            </m:r>
            <m:ctrlPr>
              <w:rPr>
                <w:rStyle w:val="57"/>
                <w:rFonts w:ascii="Cambria Math" w:hAnsi="Cambria Math" w:cs="Times New Roman"/>
                <w:bCs/>
                <w:i/>
                <w:iCs/>
                <w:color w:val="404040"/>
                <w:sz w:val="29"/>
                <w:szCs w:val="29"/>
                <w:shd w:val="clear" w:color="auto" w:fill="FFFFFF"/>
              </w:rPr>
            </m:ctrlPr>
          </m:sub>
        </m:sSub>
      </m:oMath>
      <w:r>
        <w:t>为地基抗压刚度系数，</w:t>
      </w:r>
      <m:oMath>
        <m:r>
          <m:rPr/>
          <w:rPr>
            <w:rStyle w:val="57"/>
            <w:rFonts w:ascii="Cambria Math" w:hAnsi="Cambria Math" w:cs="Times New Roman"/>
            <w:color w:val="404040"/>
            <w:sz w:val="29"/>
            <w:szCs w:val="29"/>
            <w:shd w:val="clear" w:color="auto" w:fill="FFFFFF"/>
          </w:rPr>
          <m:t>A</m:t>
        </m:r>
      </m:oMath>
      <w:r>
        <w:t>为基础底面积。该公式体现了地基刚度与基础尺寸之间的线性关系，是动力机器基础设计中地基动力特性参数计算的核心内容之一。该公式适用于均质土层或经等效处理后的分层土地基；在实际工程中，</w:t>
      </w:r>
      <m:oMath>
        <m:sSub>
          <m:sSubPr>
            <m:ctrlPr>
              <w:rPr>
                <w:rStyle w:val="57"/>
                <w:rFonts w:ascii="Cambria Math" w:hAnsi="Cambria Math" w:cs="Times New Roman"/>
                <w:bCs/>
                <w:i/>
                <w:iCs/>
                <w:color w:val="404040"/>
                <w:sz w:val="29"/>
                <w:szCs w:val="29"/>
                <w:shd w:val="clear" w:color="auto" w:fill="FFFFFF"/>
              </w:rPr>
            </m:ctrlPr>
          </m:sSubPr>
          <m:e>
            <m:r>
              <m:rPr/>
              <w:rPr>
                <w:rStyle w:val="57"/>
                <w:rFonts w:ascii="Cambria Math" w:hAnsi="Cambria Math" w:cs="Times New Roman"/>
                <w:color w:val="404040"/>
                <w:sz w:val="29"/>
                <w:szCs w:val="29"/>
                <w:shd w:val="clear" w:color="auto" w:fill="FFFFFF"/>
              </w:rPr>
              <m:t>C</m:t>
            </m:r>
            <m:ctrlPr>
              <w:rPr>
                <w:rStyle w:val="57"/>
                <w:rFonts w:ascii="Cambria Math" w:hAnsi="Cambria Math" w:cs="Times New Roman"/>
                <w:bCs/>
                <w:i/>
                <w:iCs/>
                <w:color w:val="404040"/>
                <w:sz w:val="29"/>
                <w:szCs w:val="29"/>
                <w:shd w:val="clear" w:color="auto" w:fill="FFFFFF"/>
              </w:rPr>
            </m:ctrlPr>
          </m:e>
          <m:sub>
            <m:r>
              <m:rPr/>
              <w:rPr>
                <w:rStyle w:val="57"/>
                <w:rFonts w:ascii="Cambria Math" w:hAnsi="Cambria Math" w:cs="Times New Roman"/>
                <w:color w:val="404040"/>
                <w:sz w:val="29"/>
                <w:szCs w:val="29"/>
                <w:shd w:val="clear" w:color="auto" w:fill="FFFFFF"/>
              </w:rPr>
              <m:t>z</m:t>
            </m:r>
            <m:ctrlPr>
              <w:rPr>
                <w:rStyle w:val="57"/>
                <w:rFonts w:ascii="Cambria Math" w:hAnsi="Cambria Math" w:cs="Times New Roman"/>
                <w:bCs/>
                <w:i/>
                <w:iCs/>
                <w:color w:val="404040"/>
                <w:sz w:val="29"/>
                <w:szCs w:val="29"/>
                <w:shd w:val="clear" w:color="auto" w:fill="FFFFFF"/>
              </w:rPr>
            </m:ctrlPr>
          </m:sub>
        </m:sSub>
      </m:oMath>
      <w:r>
        <w:t>值应优先通过现场试验确定，若无试验条件则可按本标准表4.3.2查取；公式未直接考虑埋深影响，需按第4.3.6条进行埋深修正。本条的制定依据了《动力机器基础设计标准》GB 50040的相关规定，确保了与现行国家标准的一致性。</w:t>
      </w:r>
    </w:p>
    <w:p w14:paraId="50748AC9">
      <w:pPr>
        <w:spacing w:before="156"/>
        <w:ind w:firstLine="482"/>
      </w:pPr>
      <w:r>
        <w:rPr>
          <w:rFonts w:hint="eastAsia"/>
          <w:b/>
        </w:rPr>
        <w:t>4.3.6</w:t>
      </w:r>
      <w:r>
        <w:rPr>
          <w:rFonts w:hint="eastAsia"/>
        </w:rPr>
        <w:t xml:space="preserve"> </w:t>
      </w:r>
      <w:r>
        <w:t>埋置基础地基抗压刚度</w:t>
      </w:r>
      <w:r>
        <w:rPr>
          <w:rFonts w:hint="eastAsia"/>
        </w:rPr>
        <w:t>计算时，应计入埋深对地基刚度的影响，考虑地基刚度</w:t>
      </w:r>
      <w:r>
        <w:t>提高系数</w:t>
      </w:r>
      <m:oMath>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z</m:t>
            </m:r>
            <m:ctrlPr>
              <w:rPr>
                <w:rFonts w:ascii="Cambria Math" w:hAnsi="Cambria Math"/>
                <w:i/>
              </w:rPr>
            </m:ctrlPr>
          </m:sub>
        </m:sSub>
      </m:oMath>
      <w:r>
        <w:t>。基础埋深对地基刚度的增强作用</w:t>
      </w:r>
      <w:r>
        <w:rPr>
          <w:rFonts w:hint="eastAsia"/>
        </w:rPr>
        <w:t>是</w:t>
      </w:r>
      <w:r>
        <w:t>通过基础埋深比</w:t>
      </w:r>
      <m:oMath>
        <m:sSub>
          <m:sSubPr>
            <m:ctrlPr>
              <w:rPr>
                <w:rFonts w:ascii="Cambria Math" w:hAnsi="Cambria Math"/>
                <w:i/>
              </w:rPr>
            </m:ctrlPr>
          </m:sSubPr>
          <m:e>
            <m:r>
              <m:rPr/>
              <w:rPr>
                <w:rFonts w:ascii="Cambria Math" w:hAnsi="Cambria Math"/>
              </w:rPr>
              <m:t>δ</m:t>
            </m:r>
            <m:ctrlPr>
              <w:rPr>
                <w:rFonts w:ascii="Cambria Math" w:hAnsi="Cambria Math"/>
                <w:i/>
              </w:rPr>
            </m:ctrlPr>
          </m:e>
          <m:sub>
            <m:r>
              <m:rPr/>
              <w:rPr>
                <w:rFonts w:ascii="Cambria Math" w:hAnsi="Cambria Math"/>
              </w:rPr>
              <m:t>d</m:t>
            </m:r>
            <m:ctrlPr>
              <w:rPr>
                <w:rFonts w:ascii="Cambria Math" w:hAnsi="Cambria Math"/>
                <w:i/>
              </w:rPr>
            </m:ctrlPr>
          </m:sub>
        </m:sSub>
      </m:oMath>
      <w:r>
        <w:t>进行量化。当</w:t>
      </w:r>
      <m:oMath>
        <m:sSub>
          <m:sSubPr>
            <m:ctrlPr>
              <w:rPr>
                <w:rFonts w:ascii="Cambria Math" w:hAnsi="Cambria Math"/>
                <w:i/>
              </w:rPr>
            </m:ctrlPr>
          </m:sSubPr>
          <m:e>
            <m:r>
              <m:rPr/>
              <w:rPr>
                <w:rFonts w:ascii="Cambria Math" w:hAnsi="Cambria Math"/>
              </w:rPr>
              <m:t>δ</m:t>
            </m:r>
            <m:ctrlPr>
              <w:rPr>
                <w:rFonts w:ascii="Cambria Math" w:hAnsi="Cambria Math"/>
                <w:i/>
              </w:rPr>
            </m:ctrlPr>
          </m:e>
          <m:sub>
            <m:r>
              <m:rPr/>
              <w:rPr>
                <w:rFonts w:ascii="Cambria Math" w:hAnsi="Cambria Math"/>
              </w:rPr>
              <m:t>d</m:t>
            </m:r>
            <m:ctrlPr>
              <w:rPr>
                <w:rFonts w:ascii="Cambria Math" w:hAnsi="Cambria Math"/>
                <w:i/>
              </w:rPr>
            </m:ctrlPr>
          </m:sub>
        </m:sSub>
        <m:r>
          <m:rPr>
            <m:sty m:val="p"/>
          </m:rPr>
          <w:rPr>
            <w:rFonts w:ascii="Cambria Math" w:hAnsi="Cambria Math"/>
          </w:rPr>
          <m:t>≤0.6</m:t>
        </m:r>
      </m:oMath>
      <w:r>
        <w:t>时，</w:t>
      </w:r>
      <w:r>
        <w:rPr>
          <w:rFonts w:hint="eastAsia"/>
        </w:rPr>
        <w:t>应按下式计算刚度提高系数：</w:t>
      </w:r>
    </w:p>
    <w:p w14:paraId="3A34E64B">
      <w:pPr>
        <w:spacing w:before="156"/>
        <w:ind w:firstLine="480"/>
      </w:pPr>
      <m:oMathPara>
        <m:oMath>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z</m:t>
              </m:r>
              <m:ctrlPr>
                <w:rPr>
                  <w:rFonts w:ascii="Cambria Math" w:hAnsi="Cambria Math"/>
                  <w:i/>
                </w:rPr>
              </m:ctrlPr>
            </m:sub>
          </m:sSub>
          <m:r>
            <m:rPr>
              <m:sty m:val="p"/>
            </m:rPr>
            <w:rPr>
              <w:rFonts w:hint="eastAsia" w:ascii="Cambria Math" w:hAnsi="Cambria Math"/>
            </w:rPr>
            <m:t>=</m:t>
          </m:r>
          <m:r>
            <m:rPr>
              <m:sty m:val="p"/>
            </m:rPr>
            <w:rPr>
              <w:rFonts w:ascii="Cambria Math" w:hAnsi="Cambria Math"/>
            </w:rPr>
            <m:t>(1+0.4</m:t>
          </m:r>
          <m:sSub>
            <m:sSubPr>
              <m:ctrlPr>
                <w:rPr>
                  <w:rFonts w:ascii="Cambria Math" w:hAnsi="Cambria Math"/>
                  <w:i/>
                </w:rPr>
              </m:ctrlPr>
            </m:sSubPr>
            <m:e>
              <m:r>
                <m:rPr/>
                <w:rPr>
                  <w:rFonts w:ascii="Cambria Math" w:hAnsi="Cambria Math"/>
                </w:rPr>
                <m:t>δ</m:t>
              </m:r>
              <m:ctrlPr>
                <w:rPr>
                  <w:rFonts w:ascii="Cambria Math" w:hAnsi="Cambria Math"/>
                  <w:i/>
                </w:rPr>
              </m:ctrlPr>
            </m:e>
            <m:sub>
              <m:r>
                <m:rPr/>
                <w:rPr>
                  <w:rFonts w:ascii="Cambria Math" w:hAnsi="Cambria Math"/>
                </w:rPr>
                <m:t>d</m:t>
              </m:r>
              <m:ctrlPr>
                <w:rPr>
                  <w:rFonts w:ascii="Cambria Math" w:hAnsi="Cambria Math"/>
                  <w:i/>
                </w:rPr>
              </m:ctrlPr>
            </m:sub>
          </m:sSub>
          <m:r>
            <m:rPr>
              <m:sty m:val="p"/>
            </m:rPr>
            <w:rPr>
              <w:rFonts w:ascii="Cambria Math" w:hAnsi="Cambria Math"/>
            </w:rPr>
            <m:t>)²</m:t>
          </m:r>
        </m:oMath>
      </m:oMathPara>
    </w:p>
    <w:p w14:paraId="64D397DC">
      <w:pPr>
        <w:spacing w:before="156"/>
        <w:ind w:firstLine="480"/>
      </w:pPr>
      <w:r>
        <w:t>当</w:t>
      </w:r>
      <m:oMath>
        <m:sSub>
          <m:sSubPr>
            <m:ctrlPr>
              <w:rPr>
                <w:rFonts w:ascii="Cambria Math" w:hAnsi="Cambria Math"/>
                <w:i/>
              </w:rPr>
            </m:ctrlPr>
          </m:sSubPr>
          <m:e>
            <m:r>
              <m:rPr/>
              <w:rPr>
                <w:rFonts w:ascii="Cambria Math" w:hAnsi="Cambria Math"/>
              </w:rPr>
              <m:t>δ</m:t>
            </m:r>
            <m:ctrlPr>
              <w:rPr>
                <w:rFonts w:ascii="Cambria Math" w:hAnsi="Cambria Math"/>
                <w:i/>
              </w:rPr>
            </m:ctrlPr>
          </m:e>
          <m:sub>
            <m:r>
              <m:rPr/>
              <w:rPr>
                <w:rFonts w:ascii="Cambria Math" w:hAnsi="Cambria Math"/>
              </w:rPr>
              <m:t>d</m:t>
            </m:r>
            <m:ctrlPr>
              <w:rPr>
                <w:rFonts w:ascii="Cambria Math" w:hAnsi="Cambria Math"/>
                <w:i/>
              </w:rPr>
            </m:ctrlPr>
          </m:sub>
        </m:sSub>
        <m:r>
          <m:rPr>
            <m:sty m:val="p"/>
          </m:rPr>
          <w:rPr>
            <w:rFonts w:ascii="Cambria Math" w:hAnsi="Cambria Math"/>
          </w:rPr>
          <m:t>&gt;0.6</m:t>
        </m:r>
      </m:oMath>
      <w:r>
        <w:t>时，取</w:t>
      </w:r>
      <m:oMath>
        <m:sSub>
          <m:sSubPr>
            <m:ctrlPr>
              <w:rPr>
                <w:rFonts w:ascii="Cambria Math" w:hAnsi="Cambria Math"/>
                <w:i/>
              </w:rPr>
            </m:ctrlPr>
          </m:sSubPr>
          <m:e>
            <m:r>
              <m:rPr/>
              <w:rPr>
                <w:rFonts w:ascii="Cambria Math" w:hAnsi="Cambria Math"/>
              </w:rPr>
              <m:t>δ</m:t>
            </m:r>
            <m:ctrlPr>
              <w:rPr>
                <w:rFonts w:ascii="Cambria Math" w:hAnsi="Cambria Math"/>
                <w:i/>
              </w:rPr>
            </m:ctrlPr>
          </m:e>
          <m:sub>
            <m:r>
              <m:rPr/>
              <w:rPr>
                <w:rFonts w:ascii="Cambria Math" w:hAnsi="Cambria Math"/>
              </w:rPr>
              <m:t>d</m:t>
            </m:r>
            <m:ctrlPr>
              <w:rPr>
                <w:rFonts w:ascii="Cambria Math" w:hAnsi="Cambria Math"/>
                <w:i/>
              </w:rPr>
            </m:ctrlPr>
          </m:sub>
        </m:sSub>
        <m:r>
          <m:rPr>
            <m:sty m:val="p"/>
          </m:rPr>
          <w:rPr>
            <w:rFonts w:hint="eastAsia" w:ascii="Cambria Math" w:hAnsi="Cambria Math"/>
          </w:rPr>
          <m:t>=</m:t>
        </m:r>
        <m:r>
          <m:rPr>
            <m:sty m:val="p"/>
          </m:rPr>
          <w:rPr>
            <w:rFonts w:ascii="Cambria Math" w:hAnsi="Cambria Math"/>
          </w:rPr>
          <m:t>0.6</m:t>
        </m:r>
      </m:oMath>
      <w:r>
        <w:t>。</w:t>
      </w:r>
    </w:p>
    <w:p w14:paraId="0699BEFA">
      <w:pPr>
        <w:spacing w:before="156"/>
        <w:ind w:firstLine="480"/>
      </w:pPr>
      <w:r>
        <w:t>此条文适用于地基承载力特征值小于350kPa且基础四周回填土与地基土密度比不小于0.85的情况，其目的是更合理地反映实际工程中埋深对地基动力刚度的有利影响。</w:t>
      </w:r>
    </w:p>
    <w:p w14:paraId="7E2C7754">
      <w:pPr>
        <w:spacing w:before="156"/>
        <w:ind w:firstLine="482"/>
      </w:pPr>
      <w:r>
        <w:rPr>
          <w:rFonts w:hint="eastAsia"/>
          <w:b/>
        </w:rPr>
        <w:t>4.3.7</w:t>
      </w:r>
      <w:r>
        <w:rPr>
          <w:rFonts w:hint="eastAsia"/>
        </w:rPr>
        <w:t xml:space="preserve"> </w:t>
      </w:r>
      <w:r>
        <w:t>天然地基竖向阻尼比</w:t>
      </w:r>
      <w:r>
        <w:rPr>
          <w:rFonts w:hint="eastAsia"/>
        </w:rPr>
        <w:t>应符合本条规定</w:t>
      </w:r>
      <w:r>
        <w:t>的</w:t>
      </w:r>
      <w:r>
        <w:rPr>
          <w:rFonts w:hint="eastAsia"/>
        </w:rPr>
        <w:t>计算</w:t>
      </w:r>
      <w:r>
        <w:t>方法</w:t>
      </w:r>
      <w:r>
        <w:rPr>
          <w:rFonts w:hint="eastAsia"/>
        </w:rPr>
        <w:t>。阻尼比计算时，需要</w:t>
      </w:r>
      <w:r>
        <w:t>区分黏性土与砂土、粉土两类地基土。黏性土地基的竖向阻尼比计算公式为</w:t>
      </w:r>
      <w:r>
        <w:rPr>
          <w:rFonts w:hint="eastAsia"/>
        </w:rPr>
        <w:t>：</w:t>
      </w:r>
    </w:p>
    <w:p w14:paraId="79D467D1">
      <w:pPr>
        <w:pStyle w:val="39"/>
        <w:rPr>
          <w:rFonts w:ascii="Times New Roman" w:hAnsi="Times New Roman"/>
        </w:rPr>
      </w:pPr>
      <m:oMathPara>
        <m:oMath>
          <m:sSub>
            <m:sSubPr/>
            <m:e>
              <m:r>
                <m:rPr>
                  <m:sty m:val="p"/>
                </m:rPr>
                <m:t>ζ</m:t>
              </m:r>
            </m:e>
            <m:sub>
              <m:r>
                <m:rPr/>
                <w:rPr>
                  <w:rFonts w:hint="eastAsia"/>
                </w:rPr>
                <m:t>z</m:t>
              </m:r>
            </m:sub>
          </m:sSub>
          <m:r>
            <m:rPr/>
            <m:t>=</m:t>
          </m:r>
          <m:f>
            <m:fPr/>
            <m:num>
              <m:r>
                <m:rPr>
                  <m:sty m:val="p"/>
                </m:rPr>
                <m:t>0.16</m:t>
              </m:r>
            </m:num>
            <m:den>
              <m:rad>
                <m:radPr>
                  <m:degHide m:val="1"/>
                </m:radPr>
                <m:deg/>
                <m:e>
                  <m:acc>
                    <m:accPr>
                      <m:chr m:val="̅"/>
                    </m:accPr>
                    <m:e>
                      <m:r>
                        <m:rPr/>
                        <m:t>m</m:t>
                      </m:r>
                    </m:e>
                  </m:acc>
                </m:e>
              </m:rad>
            </m:den>
          </m:f>
        </m:oMath>
      </m:oMathPara>
    </w:p>
    <w:p w14:paraId="26B49EE4">
      <w:pPr>
        <w:pStyle w:val="39"/>
      </w:pPr>
      <m:oMathPara>
        <m:oMath>
          <m:acc>
            <m:accPr>
              <m:chr m:val="̅"/>
              <m:ctrlPr>
                <w:rPr>
                  <w:i/>
                </w:rPr>
              </m:ctrlPr>
            </m:accPr>
            <m:e>
              <m:r>
                <m:rPr/>
                <m:t>m</m:t>
              </m:r>
              <m:ctrlPr>
                <w:rPr>
                  <w:i/>
                </w:rPr>
              </m:ctrlPr>
            </m:e>
          </m:acc>
          <m:r>
            <m:rPr>
              <m:sty m:val="p"/>
            </m:rPr>
            <m:t>=</m:t>
          </m:r>
          <m:f>
            <m:fPr/>
            <m:num>
              <m:r>
                <m:rPr/>
                <m:t>m</m:t>
              </m:r>
            </m:num>
            <m:den>
              <m:r>
                <m:rPr/>
                <m:t xml:space="preserve">ρA </m:t>
              </m:r>
              <m:rad>
                <m:radPr>
                  <m:degHide m:val="1"/>
                  <m:ctrlPr>
                    <w:rPr>
                      <w:i/>
                    </w:rPr>
                  </m:ctrlPr>
                </m:radPr>
                <m:deg>
                  <m:ctrlPr>
                    <w:rPr>
                      <w:i/>
                    </w:rPr>
                  </m:ctrlPr>
                </m:deg>
                <m:e>
                  <m:r>
                    <m:rPr/>
                    <m:t>A</m:t>
                  </m:r>
                  <m:ctrlPr>
                    <w:rPr>
                      <w:i/>
                    </w:rPr>
                  </m:ctrlPr>
                </m:e>
              </m:rad>
            </m:den>
          </m:f>
        </m:oMath>
      </m:oMathPara>
    </w:p>
    <w:p w14:paraId="4599C3FC">
      <w:pPr>
        <w:spacing w:before="156"/>
        <w:ind w:firstLine="480"/>
      </w:pPr>
      <w:r>
        <w:t>砂土和粉土地基则为</w:t>
      </w:r>
    </w:p>
    <w:p w14:paraId="78CC56C7">
      <w:pPr>
        <w:spacing w:before="156"/>
        <w:ind w:firstLine="480"/>
      </w:pPr>
      <m:oMathPara>
        <m:oMath>
          <m:sSub>
            <m:sSubPr>
              <m:ctrlPr>
                <w:rPr>
                  <w:rFonts w:ascii="Cambria Math" w:hAnsi="Cambria Math"/>
                  <w:szCs w:val="28"/>
                </w:rPr>
              </m:ctrlPr>
            </m:sSubPr>
            <m:e>
              <m:r>
                <m:rPr>
                  <m:sty m:val="p"/>
                </m:rPr>
                <w:rPr>
                  <w:rFonts w:ascii="Cambria Math" w:hAnsi="Cambria Math"/>
                </w:rPr>
                <m:t>ζ</m:t>
              </m:r>
              <m:ctrlPr>
                <w:rPr>
                  <w:rFonts w:ascii="Cambria Math" w:hAnsi="Cambria Math"/>
                  <w:szCs w:val="28"/>
                </w:rPr>
              </m:ctrlPr>
            </m:e>
            <m:sub>
              <m:r>
                <m:rPr/>
                <w:rPr>
                  <w:rFonts w:hint="eastAsia" w:ascii="Cambria Math" w:hAnsi="Cambria Math"/>
                </w:rPr>
                <m:t>z</m:t>
              </m:r>
              <m:ctrlPr>
                <w:rPr>
                  <w:rFonts w:ascii="Cambria Math" w:hAnsi="Cambria Math"/>
                  <w:szCs w:val="28"/>
                </w:rPr>
              </m:ctrlPr>
            </m:sub>
          </m:sSub>
          <m:r>
            <m:rPr>
              <m:sty m:val="p"/>
            </m:rPr>
            <w:rPr>
              <w:rFonts w:ascii="Cambria Math" w:hAnsi="Cambria Math"/>
            </w:rPr>
            <m:t>=</m:t>
          </m:r>
          <m:f>
            <m:fPr>
              <m:ctrlPr>
                <w:rPr>
                  <w:rFonts w:ascii="Cambria Math" w:hAnsi="Cambria Math"/>
                  <w:i/>
                </w:rPr>
              </m:ctrlPr>
            </m:fPr>
            <m:num>
              <m:r>
                <m:rPr/>
                <w:rPr>
                  <w:rFonts w:ascii="Cambria Math" w:hAnsi="Cambria Math"/>
                </w:rPr>
                <m:t>0.11</m:t>
              </m:r>
              <m:ctrlPr>
                <w:rPr>
                  <w:rFonts w:ascii="Cambria Math" w:hAnsi="Cambria Math"/>
                  <w:i/>
                </w:rPr>
              </m:ctrlPr>
            </m:num>
            <m:den>
              <m:rad>
                <m:radPr>
                  <m:degHide m:val="1"/>
                  <m:ctrlPr>
                    <w:rPr>
                      <w:rFonts w:ascii="Cambria Math" w:hAnsi="Cambria Math"/>
                      <w:i/>
                    </w:rPr>
                  </m:ctrlPr>
                </m:radPr>
                <m:deg>
                  <m:ctrlPr>
                    <w:rPr>
                      <w:rFonts w:ascii="Cambria Math" w:hAnsi="Cambria Math"/>
                      <w:i/>
                    </w:rPr>
                  </m:ctrlPr>
                </m:deg>
                <m:e>
                  <m:acc>
                    <m:accPr>
                      <m:chr m:val="̅"/>
                      <m:ctrlPr>
                        <w:rPr>
                          <w:rFonts w:ascii="Cambria Math" w:hAnsi="Cambria Math"/>
                          <w:i/>
                        </w:rPr>
                      </m:ctrlPr>
                    </m:accPr>
                    <m:e>
                      <m:r>
                        <m:rPr/>
                        <w:rPr>
                          <w:rFonts w:ascii="Cambria Math" w:hAnsi="Cambria Math"/>
                        </w:rPr>
                        <m:t>m</m:t>
                      </m:r>
                      <m:ctrlPr>
                        <w:rPr>
                          <w:rFonts w:ascii="Cambria Math" w:hAnsi="Cambria Math"/>
                          <w:i/>
                        </w:rPr>
                      </m:ctrlPr>
                    </m:e>
                  </m:acc>
                  <m:ctrlPr>
                    <w:rPr>
                      <w:rFonts w:ascii="Cambria Math" w:hAnsi="Cambria Math"/>
                      <w:i/>
                    </w:rPr>
                  </m:ctrlPr>
                </m:e>
              </m:rad>
              <m:ctrlPr>
                <w:rPr>
                  <w:rFonts w:ascii="Cambria Math" w:hAnsi="Cambria Math"/>
                  <w:i/>
                </w:rPr>
              </m:ctrlPr>
            </m:den>
          </m:f>
        </m:oMath>
      </m:oMathPara>
    </w:p>
    <w:p w14:paraId="5A391C67">
      <w:pPr>
        <w:spacing w:before="156"/>
        <w:ind w:firstLine="480"/>
      </w:pPr>
      <w:r>
        <w:t>其中</w:t>
      </w:r>
      <m:oMath>
        <m:acc>
          <m:accPr>
            <m:chr m:val="̅"/>
            <m:ctrlPr>
              <w:rPr>
                <w:rFonts w:ascii="Cambria Math" w:hAnsi="Cambria Math"/>
                <w:i/>
              </w:rPr>
            </m:ctrlPr>
          </m:accPr>
          <m:e>
            <m:r>
              <m:rPr/>
              <w:rPr>
                <w:rFonts w:ascii="Cambria Math" w:hAnsi="Cambria Math"/>
              </w:rPr>
              <m:t>m</m:t>
            </m:r>
            <m:ctrlPr>
              <w:rPr>
                <w:rFonts w:ascii="Cambria Math" w:hAnsi="Cambria Math"/>
                <w:i/>
              </w:rPr>
            </m:ctrlPr>
          </m:e>
        </m:acc>
      </m:oMath>
      <w:r>
        <w:t>为基组质量比。</w:t>
      </w:r>
    </w:p>
    <w:p w14:paraId="534038E9">
      <w:pPr>
        <w:spacing w:before="156"/>
        <w:ind w:firstLine="480"/>
      </w:pPr>
      <w:r>
        <w:t>该公式基于大量实测数据与理论分析，反映了地基土类型对振动能量耗散特性的影响，适用于初步设计阶段无现场试验数据时的阻尼比估算，确保动力计算的合理性与安全性。</w:t>
      </w:r>
    </w:p>
    <w:p w14:paraId="2EC2C005">
      <w:pPr>
        <w:spacing w:before="156"/>
        <w:ind w:firstLine="482"/>
      </w:pPr>
      <w:r>
        <w:rPr>
          <w:rFonts w:hint="eastAsia"/>
          <w:b/>
        </w:rPr>
        <w:t>4.3.8</w:t>
      </w:r>
      <w:r>
        <w:rPr>
          <w:rFonts w:hint="eastAsia"/>
        </w:rPr>
        <w:t xml:space="preserve"> 埋置基础的天然地基阻尼比计算应符合本条规定的方法，明确其可取明置基础的阻尼比乘以基础埋深作用对阻尼比的提高系数</w:t>
      </w:r>
      <m:oMath>
        <m:sSub>
          <m:sSubPr>
            <m:ctrlPr>
              <w:rPr>
                <w:rFonts w:ascii="Cambria Math" w:hAnsi="Cambria Math"/>
              </w:rPr>
            </m:ctrlPr>
          </m:sSubPr>
          <m:e>
            <m:r>
              <m:rPr/>
              <w:rPr>
                <w:rFonts w:ascii="Cambria Math" w:hAnsi="Cambria Math"/>
              </w:rPr>
              <m:t>β</m:t>
            </m:r>
            <m:ctrlPr>
              <w:rPr>
                <w:rFonts w:ascii="Cambria Math" w:hAnsi="Cambria Math"/>
              </w:rPr>
            </m:ctrlPr>
          </m:e>
          <m:sub>
            <m:r>
              <m:rPr>
                <m:sty m:val="p"/>
              </m:rPr>
              <w:rPr>
                <w:rFonts w:hint="eastAsia" w:ascii="Cambria Math" w:hAnsi="Cambria Math"/>
              </w:rPr>
              <m:t>z</m:t>
            </m:r>
            <m:ctrlPr>
              <w:rPr>
                <w:rFonts w:ascii="Cambria Math" w:hAnsi="Cambria Math"/>
              </w:rPr>
            </m:ctrlPr>
          </m:sub>
        </m:sSub>
      </m:oMath>
      <w:r>
        <w:rPr>
          <w:rFonts w:hint="eastAsia"/>
        </w:rPr>
        <w:t>，并给出了</w:t>
      </w:r>
      <m:oMath>
        <m:sSub>
          <m:sSubPr>
            <m:ctrlPr>
              <w:rPr>
                <w:rFonts w:ascii="Cambria Math" w:hAnsi="Cambria Math"/>
              </w:rPr>
            </m:ctrlPr>
          </m:sSubPr>
          <m:e>
            <m:r>
              <m:rPr/>
              <w:rPr>
                <w:rFonts w:ascii="Cambria Math" w:hAnsi="Cambria Math"/>
              </w:rPr>
              <m:t>β</m:t>
            </m:r>
            <m:ctrlPr>
              <w:rPr>
                <w:rFonts w:ascii="Cambria Math" w:hAnsi="Cambria Math"/>
              </w:rPr>
            </m:ctrlPr>
          </m:e>
          <m:sub>
            <m:r>
              <m:rPr>
                <m:sty m:val="p"/>
              </m:rPr>
              <w:rPr>
                <w:rFonts w:hint="eastAsia" w:ascii="Cambria Math" w:hAnsi="Cambria Math"/>
              </w:rPr>
              <m:t>z</m:t>
            </m:r>
            <m:ctrlPr>
              <w:rPr>
                <w:rFonts w:ascii="Cambria Math" w:hAnsi="Cambria Math"/>
              </w:rPr>
            </m:ctrlPr>
          </m:sub>
        </m:sSub>
      </m:oMath>
      <w:r>
        <w:rPr>
          <w:rFonts w:hint="eastAsia"/>
        </w:rPr>
        <w:t>的计算公式。该条文体现了基础埋深对地基动力特性的增强效应，通过引入埋深比</w:t>
      </w:r>
      <m:oMath>
        <m:sSub>
          <m:sSubPr>
            <m:ctrlPr>
              <w:rPr>
                <w:rFonts w:ascii="Cambria Math" w:hAnsi="Cambria Math"/>
                <w:i/>
              </w:rPr>
            </m:ctrlPr>
          </m:sSubPr>
          <m:e>
            <m:r>
              <m:rPr/>
              <w:rPr>
                <w:rFonts w:ascii="Cambria Math" w:hAnsi="Cambria Math"/>
              </w:rPr>
              <m:t>δ</m:t>
            </m:r>
            <m:ctrlPr>
              <w:rPr>
                <w:rFonts w:ascii="Cambria Math" w:hAnsi="Cambria Math"/>
                <w:i/>
              </w:rPr>
            </m:ctrlPr>
          </m:e>
          <m:sub>
            <m:r>
              <m:rPr/>
              <w:rPr>
                <w:rFonts w:ascii="Cambria Math" w:hAnsi="Cambria Math"/>
              </w:rPr>
              <m:t>d</m:t>
            </m:r>
            <m:ctrlPr>
              <w:rPr>
                <w:rFonts w:ascii="Cambria Math" w:hAnsi="Cambria Math"/>
                <w:i/>
              </w:rPr>
            </m:ctrlPr>
          </m:sub>
        </m:sSub>
      </m:oMath>
      <w:r>
        <w:rPr>
          <w:rFonts w:hint="eastAsia"/>
        </w:rPr>
        <w:t>，量化了埋深对阻尼比的贡献，为工程设计提供了明确的修正依据。</w:t>
      </w:r>
    </w:p>
    <w:p w14:paraId="30B1452D">
      <w:pPr>
        <w:pStyle w:val="4"/>
        <w:spacing w:before="156"/>
      </w:pPr>
      <w:r>
        <w:fldChar w:fldCharType="begin"/>
      </w:r>
      <w:r>
        <w:instrText xml:space="preserve"> = 2 \* ROMAN </w:instrText>
      </w:r>
      <w:r>
        <w:fldChar w:fldCharType="separate"/>
      </w:r>
      <w:r>
        <w:t>II</w:t>
      </w:r>
      <w:r>
        <w:fldChar w:fldCharType="end"/>
      </w:r>
      <w:r>
        <w:t xml:space="preserve"> 桩基</w:t>
      </w:r>
    </w:p>
    <w:p w14:paraId="1606921F">
      <w:pPr>
        <w:spacing w:before="156"/>
        <w:ind w:firstLine="480"/>
      </w:pPr>
      <w:r>
        <w:t>4.3.</w:t>
      </w:r>
      <w:r>
        <w:rPr>
          <w:rFonts w:hint="eastAsia"/>
        </w:rPr>
        <w:t>9</w:t>
      </w:r>
      <w:r>
        <w:rPr>
          <w:b/>
        </w:rPr>
        <w:t xml:space="preserve"> </w:t>
      </w:r>
      <w:r>
        <w:rPr>
          <w:rFonts w:hint="eastAsia"/>
        </w:rPr>
        <w:t>桩基的动力参数（如抗压刚度、阻尼比等）应优先通过现场试验确定，以确保其与实际地质条件和桩基施工质量相符。若无法进行现场试验，可依据本标准第4.3.10~4.3.15条提供的经验公式进行计算。但对于钻孔灌注桩等非标准桩型，仍建议进行现场动力测试，以保证设计参数的准确性。</w:t>
      </w:r>
    </w:p>
    <w:p w14:paraId="3784AAC7">
      <w:pPr>
        <w:spacing w:before="156"/>
        <w:ind w:firstLine="480"/>
      </w:pPr>
      <w:r>
        <w:rPr>
          <w:rFonts w:hint="eastAsia"/>
        </w:rPr>
        <w:t>4.3.10</w:t>
      </w:r>
      <w:r>
        <w:t xml:space="preserve"> 桩基抗压刚度</w:t>
      </w:r>
      <m:oMath>
        <m:sSub>
          <m:sSubPr>
            <m:ctrlPr>
              <w:rPr>
                <w:rFonts w:ascii="Cambria Math" w:hAnsi="Cambria Math"/>
              </w:rPr>
            </m:ctrlPr>
          </m:sSubPr>
          <m:e>
            <m:r>
              <m:rPr/>
              <w:rPr>
                <w:rFonts w:hint="eastAsia" w:ascii="Cambria Math" w:hAnsi="Cambria Math"/>
              </w:rPr>
              <m:t>K</m:t>
            </m:r>
            <m:ctrlPr>
              <w:rPr>
                <w:rFonts w:ascii="Cambria Math" w:hAnsi="Cambria Math"/>
              </w:rPr>
            </m:ctrlPr>
          </m:e>
          <m:sub>
            <m:r>
              <m:rPr/>
              <w:rPr>
                <w:rFonts w:ascii="Cambria Math" w:hAnsi="Cambria Math"/>
              </w:rPr>
              <m:t>pz</m:t>
            </m:r>
            <m:ctrlPr>
              <w:rPr>
                <w:rFonts w:ascii="Cambria Math" w:hAnsi="Cambria Math"/>
              </w:rPr>
            </m:ctrlPr>
          </m:sub>
        </m:sSub>
      </m:oMath>
      <w:r>
        <w:t>的计算考虑了桩身与土体的相互作用。公式中引入了桩周土的当量抗剪刚度系数</w:t>
      </w:r>
      <m:oMath>
        <m:sSub>
          <m:sSubPr>
            <m:ctrlPr>
              <w:rPr>
                <w:rFonts w:ascii="Cambria Math" w:hAnsi="Cambria Math"/>
              </w:rPr>
            </m:ctrlPr>
          </m:sSubPr>
          <m:e>
            <m:r>
              <m:rPr/>
              <w:rPr>
                <w:rFonts w:ascii="Cambria Math" w:hAnsi="Cambria Math"/>
              </w:rPr>
              <m:t>C</m:t>
            </m:r>
            <m:ctrlPr>
              <w:rPr>
                <w:rFonts w:ascii="Cambria Math" w:hAnsi="Cambria Math"/>
              </w:rPr>
            </m:ctrlPr>
          </m:e>
          <m:sub>
            <m:r>
              <m:rPr/>
              <w:rPr>
                <w:rFonts w:ascii="Cambria Math" w:hAnsi="Cambria Math"/>
              </w:rPr>
              <m:t>pzi</m:t>
            </m:r>
            <m:ctrlPr>
              <w:rPr>
                <w:rFonts w:ascii="Cambria Math" w:hAnsi="Cambria Math"/>
              </w:rPr>
            </m:ctrlPr>
          </m:sub>
        </m:sSub>
      </m:oMath>
      <w:r>
        <w:t>和桩端土的当量抗压刚度系数</w:t>
      </w:r>
      <m:oMath>
        <m:sSub>
          <m:sSubPr>
            <m:ctrlPr>
              <w:rPr>
                <w:rFonts w:ascii="Cambria Math" w:hAnsi="Cambria Math"/>
              </w:rPr>
            </m:ctrlPr>
          </m:sSubPr>
          <m:e>
            <m:r>
              <m:rPr/>
              <w:rPr>
                <w:rFonts w:ascii="Cambria Math" w:hAnsi="Cambria Math"/>
              </w:rPr>
              <m:t>C</m:t>
            </m:r>
            <m:ctrlPr>
              <w:rPr>
                <w:rFonts w:ascii="Cambria Math" w:hAnsi="Cambria Math"/>
              </w:rPr>
            </m:ctrlPr>
          </m:e>
          <m:sub>
            <m:r>
              <m:rPr/>
              <w:rPr>
                <w:rFonts w:ascii="Cambria Math" w:hAnsi="Cambria Math"/>
              </w:rPr>
              <m:t>pz</m:t>
            </m:r>
            <m:ctrlPr>
              <w:rPr>
                <w:rFonts w:ascii="Cambria Math" w:hAnsi="Cambria Math"/>
              </w:rPr>
            </m:ctrlPr>
          </m:sub>
        </m:sSub>
      </m:oMath>
      <w:r>
        <w:t>，以反映不同土层对桩基刚度的贡献。该公式适用于常规间距（4~5倍桩径）的摩擦桩和端承桩。</w:t>
      </w:r>
    </w:p>
    <w:p w14:paraId="2048A67D">
      <w:pPr>
        <w:spacing w:before="156"/>
        <w:ind w:firstLine="480"/>
      </w:pPr>
      <w:r>
        <w:rPr>
          <w:rFonts w:hint="eastAsia"/>
        </w:rPr>
        <w:t>4.3.11</w:t>
      </w:r>
      <w:r>
        <w:t xml:space="preserve"> 基于大量试验数据和工程经验总结而来</w:t>
      </w:r>
      <w:r>
        <w:rPr>
          <w:rFonts w:hint="eastAsia"/>
        </w:rPr>
        <w:t>,</w:t>
      </w:r>
      <w:r>
        <w:t>给出的</w:t>
      </w:r>
      <m:oMath>
        <m:sSub>
          <m:sSubPr>
            <m:ctrlPr>
              <w:rPr>
                <w:rFonts w:ascii="Cambria Math" w:hAnsi="Cambria Math"/>
              </w:rPr>
            </m:ctrlPr>
          </m:sSubPr>
          <m:e>
            <m:r>
              <m:rPr/>
              <w:rPr>
                <w:rFonts w:ascii="Cambria Math" w:hAnsi="Cambria Math"/>
              </w:rPr>
              <m:t>C</m:t>
            </m:r>
            <m:ctrlPr>
              <w:rPr>
                <w:rFonts w:ascii="Cambria Math" w:hAnsi="Cambria Math"/>
              </w:rPr>
            </m:ctrlPr>
          </m:e>
          <m:sub>
            <m:r>
              <m:rPr/>
              <w:rPr>
                <w:rFonts w:ascii="Cambria Math" w:hAnsi="Cambria Math"/>
              </w:rPr>
              <m:t>pτ</m:t>
            </m:r>
            <m:ctrlPr>
              <w:rPr>
                <w:rFonts w:ascii="Cambria Math" w:hAnsi="Cambria Math"/>
              </w:rPr>
            </m:ctrlPr>
          </m:sub>
        </m:sSub>
      </m:oMath>
      <w:r>
        <w:t>值</w:t>
      </w:r>
      <w:r>
        <w:rPr>
          <w:rFonts w:hint="eastAsia"/>
        </w:rPr>
        <w:t>列于</w:t>
      </w:r>
      <w:r>
        <w:t>表4.3.11中，适用于一般土质条件。若土层特性与表中差异较大，应通过现场试验或数值分析进行修正。</w:t>
      </w:r>
    </w:p>
    <w:p w14:paraId="3E44818D">
      <w:pPr>
        <w:spacing w:before="156"/>
        <w:ind w:firstLine="480"/>
      </w:pPr>
      <w:r>
        <w:rPr>
          <w:rFonts w:hint="eastAsia"/>
        </w:rPr>
        <w:t>4.3.12</w:t>
      </w:r>
      <w:r>
        <w:t xml:space="preserve"> 桩基竖向和水平回转向总质量及基组总转动惯量</w:t>
      </w:r>
      <w:r>
        <w:rPr>
          <w:rFonts w:hint="eastAsia"/>
        </w:rPr>
        <w:t>应按本条规定</w:t>
      </w:r>
      <w:r>
        <w:t>计算</w:t>
      </w:r>
      <w:r>
        <w:rPr>
          <w:rFonts w:hint="eastAsia"/>
        </w:rPr>
        <w:t>。</w:t>
      </w:r>
      <w:r>
        <w:t>公式中引入</w:t>
      </w:r>
      <w:r>
        <w:rPr>
          <w:rFonts w:hint="eastAsia"/>
        </w:rPr>
        <w:t>竖向振动时桩和桩间土参加振动的当量质量</w:t>
      </w:r>
      <m:oMath>
        <m:sSub>
          <m:sSubPr>
            <m:ctrlPr>
              <w:rPr>
                <w:rFonts w:ascii="Cambria Math" w:hAnsi="Cambria Math"/>
                <w:kern w:val="0"/>
                <w:lang w:bidi="en-US"/>
              </w:rPr>
            </m:ctrlPr>
          </m:sSubPr>
          <m:e>
            <m:r>
              <m:rPr/>
              <w:rPr>
                <w:rFonts w:ascii="Cambria Math" w:hAnsi="Cambria Math"/>
                <w:kern w:val="0"/>
                <w:lang w:bidi="en-US"/>
              </w:rPr>
              <m:t>m</m:t>
            </m:r>
            <m:ctrlPr>
              <w:rPr>
                <w:rFonts w:ascii="Cambria Math" w:hAnsi="Cambria Math"/>
                <w:kern w:val="0"/>
                <w:lang w:bidi="en-US"/>
              </w:rPr>
            </m:ctrlPr>
          </m:e>
          <m:sub>
            <m:r>
              <m:rPr/>
              <w:rPr>
                <w:rFonts w:hint="eastAsia" w:ascii="Cambria Math" w:hAnsi="Cambria Math"/>
                <w:kern w:val="0"/>
                <w:lang w:bidi="en-US"/>
              </w:rPr>
              <m:t>0</m:t>
            </m:r>
            <m:ctrlPr>
              <w:rPr>
                <w:rFonts w:ascii="Cambria Math" w:hAnsi="Cambria Math"/>
                <w:kern w:val="0"/>
                <w:lang w:bidi="en-US"/>
              </w:rPr>
            </m:ctrlPr>
          </m:sub>
        </m:sSub>
      </m:oMath>
      <w:r>
        <w:t>，旨在合理反映桩-土体系在振动过程中的协同惯性效应。</w:t>
      </w:r>
    </w:p>
    <w:p w14:paraId="42197A63">
      <w:pPr>
        <w:spacing w:before="156"/>
        <w:ind w:firstLine="480"/>
      </w:pPr>
      <w:r>
        <w:rPr>
          <w:kern w:val="0"/>
          <w:lang w:bidi="en-US"/>
        </w:rPr>
        <w:t>桩的折算长度</w:t>
      </w:r>
      <m:oMath>
        <m:sSub>
          <m:sSubPr>
            <m:ctrlPr>
              <w:rPr>
                <w:rFonts w:ascii="Cambria Math" w:hAnsi="Cambria Math"/>
                <w:i/>
                <w:kern w:val="0"/>
                <w:lang w:bidi="en-US"/>
              </w:rPr>
            </m:ctrlPr>
          </m:sSubPr>
          <m:e>
            <m:r>
              <m:rPr/>
              <w:rPr>
                <w:rFonts w:ascii="Cambria Math" w:hAnsi="Cambria Math"/>
                <w:kern w:val="0"/>
                <w:lang w:bidi="en-US"/>
              </w:rPr>
              <m:t>l</m:t>
            </m:r>
            <m:ctrlPr>
              <w:rPr>
                <w:rFonts w:ascii="Cambria Math" w:hAnsi="Cambria Math"/>
                <w:i/>
                <w:kern w:val="0"/>
                <w:lang w:bidi="en-US"/>
              </w:rPr>
            </m:ctrlPr>
          </m:e>
          <m:sub>
            <m:r>
              <m:rPr/>
              <w:rPr>
                <w:rFonts w:ascii="Cambria Math" w:hAnsi="Cambria Math"/>
                <w:kern w:val="0"/>
                <w:lang w:bidi="en-US"/>
              </w:rPr>
              <m:t>t</m:t>
            </m:r>
            <m:ctrlPr>
              <w:rPr>
                <w:rFonts w:ascii="Cambria Math" w:hAnsi="Cambria Math"/>
                <w:i/>
                <w:kern w:val="0"/>
                <w:lang w:bidi="en-US"/>
              </w:rPr>
            </m:ctrlPr>
          </m:sub>
        </m:sSub>
      </m:oMath>
      <w:r>
        <w:rPr>
          <w:rFonts w:hint="eastAsia"/>
        </w:rPr>
        <w:t>，</w:t>
      </w:r>
      <w:r>
        <w:t>依据桩的入土深度确定，体现了桩身与周边土体的动力相互作用深度。基础底面宽度</w:t>
      </w:r>
      <m:oMath>
        <m:r>
          <m:rPr/>
          <w:rPr>
            <w:rFonts w:ascii="Cambria Math" w:hAnsi="Cambria Math"/>
            <w:kern w:val="0"/>
            <w:lang w:bidi="en-US"/>
          </w:rPr>
          <m:t>b</m:t>
        </m:r>
      </m:oMath>
      <w:r>
        <w:t>和长度</w:t>
      </w:r>
      <m:oMath>
        <m:r>
          <m:rPr/>
          <w:rPr>
            <w:rFonts w:ascii="Cambria Math" w:hAnsi="Cambria Math"/>
            <w:kern w:val="0"/>
            <w:lang w:bidi="en-US"/>
          </w:rPr>
          <m:t>d</m:t>
        </m:r>
      </m:oMath>
      <w:r>
        <w:t>的引入，则考虑了基础尺寸对参振土体范围的影响。该计算方法适用于常规间距布置的摩擦桩与端承桩体系，其物理意义明确，便于工程应用。</w:t>
      </w:r>
    </w:p>
    <w:p w14:paraId="4E7B03B1">
      <w:pPr>
        <w:spacing w:before="156"/>
        <w:ind w:firstLine="480"/>
      </w:pPr>
      <w:r>
        <w:rPr>
          <w:rFonts w:hint="eastAsia"/>
        </w:rPr>
        <w:t>4.3.13</w:t>
      </w:r>
      <w:r>
        <w:t xml:space="preserve"> 桩的折算长度</w:t>
      </w:r>
      <m:oMath>
        <m:sSub>
          <m:sSubPr>
            <m:ctrlPr>
              <w:rPr>
                <w:rFonts w:ascii="Cambria Math" w:hAnsi="Cambria Math"/>
                <w:i/>
                <w:kern w:val="0"/>
                <w:lang w:bidi="en-US"/>
              </w:rPr>
            </m:ctrlPr>
          </m:sSubPr>
          <m:e>
            <m:r>
              <m:rPr/>
              <w:rPr>
                <w:rFonts w:ascii="Cambria Math" w:hAnsi="Cambria Math"/>
                <w:kern w:val="0"/>
                <w:lang w:bidi="en-US"/>
              </w:rPr>
              <m:t>l</m:t>
            </m:r>
            <m:ctrlPr>
              <w:rPr>
                <w:rFonts w:ascii="Cambria Math" w:hAnsi="Cambria Math"/>
                <w:i/>
                <w:kern w:val="0"/>
                <w:lang w:bidi="en-US"/>
              </w:rPr>
            </m:ctrlPr>
          </m:e>
          <m:sub>
            <m:r>
              <m:rPr/>
              <w:rPr>
                <w:rFonts w:ascii="Cambria Math" w:hAnsi="Cambria Math"/>
                <w:kern w:val="0"/>
                <w:lang w:bidi="en-US"/>
              </w:rPr>
              <m:t>t</m:t>
            </m:r>
            <m:ctrlPr>
              <w:rPr>
                <w:rFonts w:ascii="Cambria Math" w:hAnsi="Cambria Math"/>
                <w:i/>
                <w:kern w:val="0"/>
                <w:lang w:bidi="en-US"/>
              </w:rPr>
            </m:ctrlPr>
          </m:sub>
        </m:sSub>
      </m:oMath>
      <w:r>
        <w:rPr>
          <w:rFonts w:hint="eastAsia"/>
          <w:kern w:val="0"/>
          <w:lang w:bidi="en-US"/>
        </w:rPr>
        <w:t>应根据桩的入土深度，在表4.3.13中查装的折算长度。该这算长度</w:t>
      </w:r>
      <w:r>
        <w:t>反映桩-土系统在动力相互作用下参振土体有效高度的关键参数。其取值依据桩的入土深度确定，是基于大量现场试验与理论分析总结出的经验值。当桩的入土深度在10m至15m之间时，</w:t>
      </w:r>
      <w:r>
        <w:rPr>
          <w:rFonts w:hint="eastAsia"/>
        </w:rPr>
        <w:t>可</w:t>
      </w:r>
      <w:r>
        <w:t>采用线性插值法确定</w:t>
      </w:r>
      <m:oMath>
        <m:sSub>
          <m:sSubPr>
            <m:ctrlPr>
              <w:rPr>
                <w:rFonts w:ascii="Cambria Math" w:hAnsi="Cambria Math"/>
                <w:i/>
                <w:kern w:val="0"/>
                <w:lang w:bidi="en-US"/>
              </w:rPr>
            </m:ctrlPr>
          </m:sSubPr>
          <m:e>
            <m:r>
              <m:rPr/>
              <w:rPr>
                <w:rFonts w:ascii="Cambria Math" w:hAnsi="Cambria Math"/>
                <w:kern w:val="0"/>
                <w:lang w:bidi="en-US"/>
              </w:rPr>
              <m:t>l</m:t>
            </m:r>
            <m:ctrlPr>
              <w:rPr>
                <w:rFonts w:ascii="Cambria Math" w:hAnsi="Cambria Math"/>
                <w:i/>
                <w:kern w:val="0"/>
                <w:lang w:bidi="en-US"/>
              </w:rPr>
            </m:ctrlPr>
          </m:e>
          <m:sub>
            <m:r>
              <m:rPr/>
              <w:rPr>
                <w:rFonts w:ascii="Cambria Math" w:hAnsi="Cambria Math"/>
                <w:kern w:val="0"/>
                <w:lang w:bidi="en-US"/>
              </w:rPr>
              <m:t>t</m:t>
            </m:r>
            <m:ctrlPr>
              <w:rPr>
                <w:rFonts w:ascii="Cambria Math" w:hAnsi="Cambria Math"/>
                <w:i/>
                <w:kern w:val="0"/>
                <w:lang w:bidi="en-US"/>
              </w:rPr>
            </m:ctrlPr>
          </m:sub>
        </m:sSub>
      </m:oMath>
      <w:r>
        <w:t>，以保证计算的连续性与工程适用性。该规定考虑了不同桩长对地基动力响应的影响，较短的桩其周围土体参与振动的范围较小，而较长的桩则能带动更深层土体振动，因此折算长度随入土深度增加而增大。本条文的制定旨在为桩基动力分析提供简化且合理的计算依据，确保桩基刚度及振动响应计算的准确性。</w:t>
      </w:r>
    </w:p>
    <w:p w14:paraId="0B446CDF">
      <w:pPr>
        <w:spacing w:before="156"/>
        <w:ind w:firstLine="480"/>
      </w:pPr>
      <w:r>
        <w:rPr>
          <w:rFonts w:hint="eastAsia"/>
        </w:rPr>
        <w:t>4.3.14</w:t>
      </w:r>
      <w:r>
        <w:t xml:space="preserve"> 桩基竖向阻尼比的确定需综合考虑桩-土相互作用机制及土体能量耗散特性。本条区分了三种情况：当桩基承台底为黏性土时，土体具有较高的粘滞性，能量吸收能力强，故阻尼比取值较高；承台底为砂土或粉土时，土体颗粒间摩擦作用显著但粘滞性较弱，阻尼比适当降低；若采用端承桩或承台与地基土脱空，则振动能量主要通过桩身传递至深层土体，桩周土参与振动的程度较低，阻尼比取值最小。公式中的质量比</w:t>
      </w:r>
      <m:oMath>
        <m:acc>
          <m:accPr>
            <m:chr m:val="̅"/>
            <m:ctrlPr>
              <w:rPr>
                <w:rFonts w:ascii="Cambria Math" w:hAnsi="Cambria Math"/>
                <w:i/>
              </w:rPr>
            </m:ctrlPr>
          </m:accPr>
          <m:e>
            <m:r>
              <m:rPr/>
              <w:rPr>
                <w:rFonts w:ascii="Cambria Math" w:hAnsi="Cambria Math"/>
              </w:rPr>
              <m:t>m</m:t>
            </m:r>
            <m:ctrlPr>
              <w:rPr>
                <w:rFonts w:ascii="Cambria Math" w:hAnsi="Cambria Math"/>
                <w:i/>
              </w:rPr>
            </m:ctrlPr>
          </m:e>
        </m:acc>
      </m:oMath>
      <w:r>
        <w:t>反映了基组质量与地基土参振质量的相对关系，其值越大，阻尼比越小，符合振动能量向土体扩散的物理规律。该规定适用于一般地质条件下的桩基动力设计，若遇特殊土层（如液化土、软黏土等），应结合现场试验或数值分析进行修正。</w:t>
      </w:r>
    </w:p>
    <w:p w14:paraId="7F4C4F49">
      <w:pPr>
        <w:spacing w:before="156"/>
        <w:ind w:firstLine="480"/>
      </w:pPr>
      <w:r>
        <w:rPr>
          <w:rFonts w:hint="eastAsia"/>
        </w:rPr>
        <w:t>4.3.15</w:t>
      </w:r>
      <w:r>
        <w:t xml:space="preserve"> 桩基承台埋置深度对阻尼性能具有显著提高作用，其原因在于回填土与桩基-土体系统共同工作，增强了振动能量的耗散。本条针对摩擦桩和端承桩分别给出了阻尼比提高系数的计算方法</w:t>
      </w:r>
      <w:r>
        <w:rPr>
          <w:rFonts w:hint="eastAsia"/>
        </w:rPr>
        <w:t>；</w:t>
      </w:r>
      <w:r>
        <w:t>摩擦桩的提高系数与埋深比</w:t>
      </w:r>
      <m:oMath>
        <m:sSub>
          <m:sSubPr>
            <m:ctrlPr>
              <w:rPr>
                <w:rFonts w:ascii="Cambria Math" w:hAnsi="Cambria Math"/>
                <w:i/>
              </w:rPr>
            </m:ctrlPr>
          </m:sSubPr>
          <m:e>
            <m:r>
              <m:rPr/>
              <w:rPr>
                <w:rFonts w:ascii="Cambria Math" w:hAnsi="Cambria Math"/>
              </w:rPr>
              <m:t>δ</m:t>
            </m:r>
            <m:ctrlPr>
              <w:rPr>
                <w:rFonts w:ascii="Cambria Math" w:hAnsi="Cambria Math"/>
                <w:i/>
              </w:rPr>
            </m:ctrlPr>
          </m:e>
          <m:sub>
            <m:r>
              <m:rPr/>
              <w:rPr>
                <w:rFonts w:ascii="Cambria Math" w:hAnsi="Cambria Math"/>
              </w:rPr>
              <m:t>d</m:t>
            </m:r>
            <m:ctrlPr>
              <w:rPr>
                <w:rFonts w:ascii="Cambria Math" w:hAnsi="Cambria Math"/>
                <w:i/>
              </w:rPr>
            </m:ctrlPr>
          </m:sub>
        </m:sSub>
      </m:oMath>
      <w:r>
        <w:t>呈线性关系，反映了回填土对桩周土约束作用的增强</w:t>
      </w:r>
      <w:r>
        <w:rPr>
          <w:rFonts w:hint="eastAsia"/>
        </w:rPr>
        <w:t>；</w:t>
      </w:r>
      <w:r>
        <w:t>端承桩的提高系数则考虑了桩端阻力和埋深共同影响的非线性特性。设计中需注意，提高系数的适用前提是回填土压实度不低于0.85，且地基承载力特征值小于350kPa，确保土体具备足够的密实度和协同变形能力。若实际工程中埋深过大（</w:t>
      </w:r>
      <m:oMath>
        <m:sSub>
          <m:sSubPr>
            <m:ctrlPr>
              <w:rPr>
                <w:rFonts w:ascii="Cambria Math" w:hAnsi="Cambria Math"/>
                <w:i/>
              </w:rPr>
            </m:ctrlPr>
          </m:sSubPr>
          <m:e>
            <m:r>
              <m:rPr/>
              <w:rPr>
                <w:rFonts w:ascii="Cambria Math" w:hAnsi="Cambria Math"/>
              </w:rPr>
              <m:t>δ</m:t>
            </m:r>
            <m:ctrlPr>
              <w:rPr>
                <w:rFonts w:ascii="Cambria Math" w:hAnsi="Cambria Math"/>
                <w:i/>
              </w:rPr>
            </m:ctrlPr>
          </m:e>
          <m:sub>
            <m:r>
              <m:rPr/>
              <w:rPr>
                <w:rFonts w:ascii="Cambria Math" w:hAnsi="Cambria Math"/>
              </w:rPr>
              <m:t>d</m:t>
            </m:r>
            <m:ctrlPr>
              <w:rPr>
                <w:rFonts w:ascii="Cambria Math" w:hAnsi="Cambria Math"/>
                <w:i/>
              </w:rPr>
            </m:ctrlPr>
          </m:sub>
        </m:sSub>
        <m:r>
          <m:rPr/>
          <w:rPr>
            <w:rFonts w:ascii="Cambria Math" w:hAnsi="Cambria Math"/>
          </w:rPr>
          <m:t>&gt;0.6</m:t>
        </m:r>
      </m:oMath>
      <w:r>
        <w:t>），则应取上限值0.6，避免过高估计埋深效应。</w:t>
      </w:r>
    </w:p>
    <w:p w14:paraId="73954A16">
      <w:pPr>
        <w:spacing w:before="156"/>
        <w:ind w:firstLine="480"/>
      </w:pPr>
    </w:p>
    <w:p w14:paraId="30E581BC">
      <w:pPr>
        <w:spacing w:before="156"/>
        <w:ind w:firstLine="480"/>
      </w:pPr>
    </w:p>
    <w:p w14:paraId="0784F5CA">
      <w:pPr>
        <w:pStyle w:val="3"/>
      </w:pPr>
      <w:bookmarkStart w:id="61" w:name="_Toc206578573"/>
      <w:r>
        <w:t xml:space="preserve">5 </w:t>
      </w:r>
      <w:r>
        <w:rPr>
          <w:rFonts w:hint="eastAsia"/>
        </w:rPr>
        <w:t>振动测试</w:t>
      </w:r>
      <w:bookmarkEnd w:id="61"/>
    </w:p>
    <w:p w14:paraId="12D600FB">
      <w:pPr>
        <w:pStyle w:val="4"/>
        <w:spacing w:before="156"/>
      </w:pPr>
      <w:bookmarkStart w:id="62" w:name="_Toc206578574"/>
      <w:r>
        <w:t xml:space="preserve">5.1 </w:t>
      </w:r>
      <w:r>
        <w:rPr>
          <w:rFonts w:hint="eastAsia"/>
        </w:rPr>
        <w:t>测试方法</w:t>
      </w:r>
      <w:bookmarkEnd w:id="62"/>
    </w:p>
    <w:p w14:paraId="654C469B">
      <w:pPr>
        <w:spacing w:before="156"/>
        <w:ind w:firstLine="482"/>
      </w:pPr>
      <w:r>
        <w:rPr>
          <w:b/>
          <w:kern w:val="0"/>
        </w:rPr>
        <w:t>5.1.1　</w:t>
      </w:r>
      <w:r>
        <w:rPr>
          <w:rFonts w:hint="eastAsia"/>
        </w:rPr>
        <w:t>明确了振动测试的必要性与最终目标，即验证锻锤基础在运行时的振动响应是否满足国家标准《建筑工程容许振动标准》GB 50868的限值要求。这是保障设备安全运行、人员健康及环境合规的核心环节。</w:t>
      </w:r>
    </w:p>
    <w:p w14:paraId="00B0E51C">
      <w:pPr>
        <w:spacing w:before="156"/>
        <w:ind w:firstLine="482"/>
        <w:rPr>
          <w:shd w:val="clear" w:color="auto" w:fill="FFFFFF"/>
        </w:rPr>
      </w:pPr>
      <w:r>
        <w:rPr>
          <w:b/>
          <w:bCs/>
          <w:kern w:val="0"/>
        </w:rPr>
        <w:t>5.1.2~5.1.3</w:t>
      </w:r>
      <w:r>
        <w:rPr>
          <w:rStyle w:val="34"/>
          <w:rFonts w:hint="eastAsia" w:ascii="Segoe UI" w:hAnsi="Segoe UI" w:cs="Segoe UI"/>
          <w:color w:val="404040"/>
          <w:shd w:val="clear" w:color="auto" w:fill="FFFFFF"/>
        </w:rPr>
        <w:t xml:space="preserve"> </w:t>
      </w:r>
      <w:r>
        <w:rPr>
          <w:shd w:val="clear" w:color="auto" w:fill="FFFFFF"/>
        </w:rPr>
        <w:t>对测试系统的性能与校准提出了强制性要求。锻锤冲击振动具有幅值高、频带宽、瞬态性强的特点，因此测试系统必须具备相应的动态响应能力，并在有效校准期内使用，以确保测量结果的计量溯源性。</w:t>
      </w:r>
    </w:p>
    <w:p w14:paraId="2E04F171">
      <w:pPr>
        <w:spacing w:before="156"/>
        <w:ind w:firstLine="482"/>
      </w:pPr>
      <w:r>
        <w:rPr>
          <w:b/>
          <w:kern w:val="0"/>
        </w:rPr>
        <w:t xml:space="preserve">5.1.4~5.1.7 </w:t>
      </w:r>
      <w:r>
        <w:rPr>
          <w:shd w:val="clear" w:color="auto" w:fill="FFFFFF"/>
        </w:rPr>
        <w:t>传感器的选型原则</w:t>
      </w:r>
      <w:r>
        <w:rPr>
          <w:rFonts w:hint="eastAsia"/>
          <w:shd w:val="clear" w:color="auto" w:fill="FFFFFF"/>
        </w:rPr>
        <w:t>应符合本条的规定</w:t>
      </w:r>
      <w:r>
        <w:rPr>
          <w:shd w:val="clear" w:color="auto" w:fill="FFFFFF"/>
        </w:rPr>
        <w:t>。核心依据是锻锤振动的特性：对于可能超过1000g的高幅值冲击加速度，推荐抗过载能力强、低频响应好的压阻式传感器；对于需分析高频成分或宽频带振动的场景，则优先选用频响范围更宽的压电式传感器。速度传感器则更适用于振动能量以低频为主的大型锻锤测试。所有传感器均需满足严格的线性度、横向灵敏度比和绝缘电阻等技术指标，以减小测量误差。</w:t>
      </w:r>
    </w:p>
    <w:p w14:paraId="21D85F3C">
      <w:pPr>
        <w:spacing w:before="156"/>
        <w:ind w:firstLine="482"/>
      </w:pPr>
      <w:r>
        <w:rPr>
          <w:b/>
          <w:bCs/>
        </w:rPr>
        <w:t xml:space="preserve">5.1.8 </w:t>
      </w:r>
      <w:r>
        <w:t>锻锤基础振动测点的科学布置是准确获取结构动力响应、评估隔振性能及环境影响的基础。本条对测点布置原则作出了详细规定，其核心目的在于全面捕捉振动信息、确保数据代表性与可比性。</w:t>
      </w:r>
    </w:p>
    <w:p w14:paraId="04CA485B">
      <w:pPr>
        <w:spacing w:before="156"/>
        <w:ind w:firstLine="480"/>
      </w:pPr>
      <w:r>
        <w:rPr>
          <w:rFonts w:hint="eastAsia"/>
        </w:rPr>
        <w:t>1</w:t>
      </w:r>
      <w:r>
        <w:t xml:space="preserve"> 规定在基础顶面与基坑顶面的角点和边中点布置不少于4个测点。这些位置是基础结构动力响应的</w:t>
      </w:r>
      <w:r>
        <w:rPr>
          <w:b/>
          <w:bCs/>
        </w:rPr>
        <w:t>控制点</w:t>
      </w:r>
      <w:r>
        <w:t>，能有效反映基础在冲击荷载下的整体振动形态（如刚体平移、转动）及可能存在的扭转效应，避免因测点过少而遗漏关键振型信息。</w:t>
      </w:r>
    </w:p>
    <w:p w14:paraId="5F469071">
      <w:pPr>
        <w:spacing w:before="156"/>
        <w:ind w:firstLine="480"/>
      </w:pPr>
      <w:r>
        <w:rPr>
          <w:rFonts w:hint="eastAsia"/>
        </w:rPr>
        <w:t>2</w:t>
      </w:r>
      <w:r>
        <w:t xml:space="preserve"> 针对隔振基础，要求在隔振器上下接触面附近对称布置测点。此举是为了直接测量隔振器两端的动力响应，从而精确计算隔振效率（传递率）。上下同步测试可消除时间不同步带来的误差，是评价隔振系统工作性能是否达到设计目标的关键环节。</w:t>
      </w:r>
    </w:p>
    <w:p w14:paraId="31202089">
      <w:pPr>
        <w:spacing w:before="156"/>
        <w:ind w:firstLine="480"/>
      </w:pPr>
      <w:r>
        <w:rPr>
          <w:rFonts w:hint="eastAsia"/>
        </w:rPr>
        <w:t>3</w:t>
      </w:r>
      <w:r>
        <w:t xml:space="preserve"> 规定了环境振动传播测点的布置方法。以基础中心为原点、沿放射线方向布置，是为了系统研究振动波在土体中的传播衰减规律。近场区（5m, 10m）测点密集可捕捉到复杂的波场相互作用，远场区（20m-50m递增）则用于评估对敏感目标的长期影响，为环保设计提供数据支撑。</w:t>
      </w:r>
    </w:p>
    <w:p w14:paraId="388CE74F">
      <w:pPr>
        <w:spacing w:before="156"/>
        <w:ind w:firstLine="480"/>
      </w:pPr>
      <w:r>
        <w:rPr>
          <w:rFonts w:hint="eastAsia"/>
        </w:rPr>
        <w:t>4</w:t>
      </w:r>
      <w:r>
        <w:t xml:space="preserve"> 要求在基础顶部设置参考测点。该点作为基准点，可用于与其它测点进行对比分析，校验测试系统的稳定性，并在多工况测试中保证数据的一致性。</w:t>
      </w:r>
    </w:p>
    <w:p w14:paraId="10929CBE">
      <w:pPr>
        <w:spacing w:before="156"/>
        <w:ind w:firstLine="480"/>
      </w:pPr>
      <w:r>
        <w:rPr>
          <w:rFonts w:hint="eastAsia"/>
        </w:rPr>
        <w:t>5</w:t>
      </w:r>
      <w:r>
        <w:t xml:space="preserve"> 强调了与国家标准《建筑工程容许振动标准》GB 50868的协调性。该标准对不同功能建筑、精密仪器的振动测点布置有具体规定，尤其在评估振动对周边建筑影响时，测点应布置在受影响建筑的基础或主体结构的敏感位置上，本工程的测点布置需与之衔接，确保评估结果的适用性和权威性。</w:t>
      </w:r>
    </w:p>
    <w:p w14:paraId="6393CCBC">
      <w:pPr>
        <w:spacing w:before="156"/>
        <w:ind w:firstLine="480"/>
      </w:pPr>
      <w:r>
        <w:t>总之，</w:t>
      </w:r>
      <w:r>
        <w:rPr>
          <w:rFonts w:hint="eastAsia"/>
        </w:rPr>
        <w:t>振动测点</w:t>
      </w:r>
      <w:r>
        <w:t>的设置</w:t>
      </w:r>
      <w:r>
        <w:rPr>
          <w:rFonts w:hint="eastAsia"/>
        </w:rPr>
        <w:t>应能</w:t>
      </w:r>
      <w:r>
        <w:t>体现</w:t>
      </w:r>
      <w:r>
        <w:rPr>
          <w:rFonts w:hint="eastAsia"/>
        </w:rPr>
        <w:t>出</w:t>
      </w:r>
      <w:r>
        <w:t>从振源（基础本体）到路径（土中传播）再到受体（环境）的全过程振动测试理念，构建了一个完整、立体、科学的测点网络，为锻锤基础的设计验证、性能评价和环境准入提供坚实的数据基础。</w:t>
      </w:r>
    </w:p>
    <w:p w14:paraId="275265BB">
      <w:pPr>
        <w:spacing w:before="156"/>
        <w:ind w:firstLine="482"/>
      </w:pPr>
      <w:r>
        <w:rPr>
          <w:b/>
          <w:bCs/>
        </w:rPr>
        <w:t>5.1.9</w:t>
      </w:r>
      <w:r>
        <w:t>本条旨在确保振动位移测量结果的计量准确性与法定有效性。位移传感器是获取基础振动幅值、评价隔振效果的关键设备，其线性度、频率响应和灵敏度等核心指标必须符合国家计量规程《振动位移传感器检定规程》（JJG 644）的严格规定。测试前，必须核查传感器及整个测量系统的校准状态，确保其量值可溯源至国家基准，并在检定证书有效期内使用。这是防止测量偏差、保证数据公正可靠、使测试结论具有法律效力的根本技术措施。</w:t>
      </w:r>
    </w:p>
    <w:p w14:paraId="2FAE289E">
      <w:pPr>
        <w:pStyle w:val="4"/>
        <w:spacing w:before="156"/>
      </w:pPr>
      <w:bookmarkStart w:id="63" w:name="_Toc206578575"/>
      <w:r>
        <w:t xml:space="preserve">5.2 </w:t>
      </w:r>
      <w:r>
        <w:rPr>
          <w:rFonts w:hint="eastAsia"/>
        </w:rPr>
        <w:t>数据处理</w:t>
      </w:r>
      <w:bookmarkEnd w:id="63"/>
    </w:p>
    <w:p w14:paraId="74ECCA12">
      <w:pPr>
        <w:spacing w:before="156"/>
        <w:ind w:firstLine="480"/>
      </w:pPr>
      <w:r>
        <w:rPr>
          <w:rFonts w:hint="eastAsia"/>
        </w:rPr>
        <w:t>为保证锻锤基础振动测试数据的准确性与可靠性，必须对采集的原始信号进行科学、规范的预处理与分析。本条明确了振动信号数据处理的基本要求与方法。</w:t>
      </w:r>
    </w:p>
    <w:p w14:paraId="17A3823A">
      <w:pPr>
        <w:spacing w:before="156"/>
        <w:ind w:firstLine="480"/>
      </w:pPr>
      <w:r>
        <w:rPr>
          <w:rFonts w:hint="eastAsia"/>
        </w:rPr>
        <w:t>数据预处理是确保后续分析准确的基础。首先，数据标度变换需严格按照传感器灵敏度及采集系统设置，将电压信号转换为对应的物理量（如加速度、速度、位移），确保量值溯源准确。其次，消除趋势项至关重要。由于传感器零点漂移、温度变化或低频干扰等因素，信号中常包含非振动引起的缓慢变化成分（趋势项），需采用多项式拟合或高通滤波等方法予以剔除，避免其对时域和频域分析结果造成失真。此外，当信号中存在高频噪声或特定干扰时，应进行数字滤波处理。滤波器的选择（如低通、带通）及参数设置（截止频率、阶数）须根据信号特征及分析目的合理确定，并注意防止相位失真或信号畸变。</w:t>
      </w:r>
    </w:p>
    <w:p w14:paraId="644DC4B1">
      <w:pPr>
        <w:spacing w:before="156"/>
        <w:ind w:firstLine="480"/>
      </w:pPr>
      <w:r>
        <w:rPr>
          <w:rFonts w:hint="eastAsia"/>
        </w:rPr>
        <w:t>在时域分析中，应提取冲击振动的关键特征参数，包括峰值、脉冲宽度、波形特性等，并可通过计算等效作用时间、自相关函数、互相关函数及概率密度函数等，进一步揭示振动的统计特性与规律。在频域分析中，应采用傅里叶变换获取信号的频谱结构，进行冲击响应谱分析以评估系统在不同固有频率下的最大响应，并通过功率谱密度分析确定振动能量的频率分布特征，为判断振源特性、结构共振及隔振效果提供依据。</w:t>
      </w:r>
    </w:p>
    <w:p w14:paraId="102A7CAB">
      <w:pPr>
        <w:spacing w:before="156"/>
        <w:ind w:firstLine="480"/>
      </w:pPr>
      <w:r>
        <w:rPr>
          <w:rFonts w:hint="eastAsia"/>
        </w:rPr>
        <w:t>本节规定的数据处理方法旨在统一分析流程，确保测试结果真实、客观地反映锻锤基础的振动响应，为振动评估与设计验证提供可靠的数据支撑。</w:t>
      </w:r>
    </w:p>
    <w:p w14:paraId="4F244772">
      <w:pPr>
        <w:spacing w:before="156"/>
        <w:ind w:firstLine="482"/>
        <w:rPr>
          <w:rFonts w:cs="Times New Roman"/>
          <w:szCs w:val="24"/>
        </w:rPr>
      </w:pPr>
      <w:r>
        <w:rPr>
          <w:rFonts w:cs="Times New Roman"/>
          <w:b/>
          <w:szCs w:val="24"/>
        </w:rPr>
        <w:t>5.2.1　</w:t>
      </w:r>
      <w:r>
        <w:rPr>
          <w:rFonts w:cs="Times New Roman"/>
          <w:szCs w:val="24"/>
        </w:rPr>
        <w:t>振</w:t>
      </w:r>
      <w:r>
        <w:rPr>
          <w:rFonts w:hint="eastAsia" w:cs="Times New Roman"/>
          <w:szCs w:val="24"/>
        </w:rPr>
        <w:t>数据预处理是振动信号分析的基础，旨在保证数据的准确性与可靠性。标度变换确保物理量单位一致，消除趋势项可避免低频漂移干扰，数字滤波则能有效抑制高频噪声，突出有效冲击信号特征。这些步骤共同为后续的时域与频域分析提供高质量数据基础，确保振动评估结果的科学性与准确性。</w:t>
      </w:r>
    </w:p>
    <w:p w14:paraId="4B0E176B">
      <w:pPr>
        <w:spacing w:before="156"/>
        <w:ind w:firstLine="480"/>
      </w:pPr>
      <w:r>
        <w:rPr>
          <w:rFonts w:hint="eastAsia"/>
        </w:rPr>
        <w:t>5.2.2</w:t>
      </w:r>
      <w:r>
        <w:t xml:space="preserve"> 采用时域方法分析锻锤冲击振动数据时应包含的主要内容。冲击振动具有瞬态、高幅值、宽频带的特性，其时域波形直接反映了冲击作用的本质特征，是进行动力分析和评估的基础。</w:t>
      </w:r>
    </w:p>
    <w:p w14:paraId="76A54B58">
      <w:pPr>
        <w:spacing w:before="156"/>
        <w:ind w:firstLine="480"/>
        <w:rPr>
          <w:kern w:val="0"/>
          <w:szCs w:val="24"/>
        </w:rPr>
      </w:pPr>
      <w:r>
        <w:t>时域波形分析：通过直接观察和测量振动信号的时域曲线，可以最直观地获取冲击荷载的关键参数。冲击峰值反映了荷载的最大强度，是结构强度和隔振器选型的重要依据；脉冲宽度（即打击作用时间</w:t>
      </w:r>
      <m:oMath>
        <m:sSub>
          <m:sSubPr>
            <m:ctrlPr>
              <w:rPr>
                <w:rFonts w:ascii="Cambria Math" w:hAnsi="Cambria Math"/>
              </w:rPr>
            </m:ctrlPr>
          </m:sSubPr>
          <m:e>
            <m:r>
              <m:rPr/>
              <w:rPr>
                <w:rFonts w:hint="eastAsia" w:ascii="Cambria Math" w:hAnsi="Cambria Math"/>
              </w:rPr>
              <m:t>t</m:t>
            </m:r>
            <m:ctrlPr>
              <w:rPr>
                <w:rFonts w:ascii="Cambria Math" w:hAnsi="Cambria Math"/>
              </w:rPr>
            </m:ctrlPr>
          </m:e>
          <m:sub>
            <m:r>
              <m:rPr/>
              <w:rPr>
                <w:rFonts w:ascii="Cambria Math" w:hAnsi="Cambria Math"/>
              </w:rPr>
              <m:t>0</m:t>
            </m:r>
            <m:ctrlPr>
              <w:rPr>
                <w:rFonts w:ascii="Cambria Math" w:hAnsi="Cambria Math"/>
              </w:rPr>
            </m:ctrlPr>
          </m:sub>
        </m:sSub>
      </m:oMath>
      <w:r>
        <w:t>）决定了激励能量的频率分布，是判断系统动力响应的关键参数，脉冲越窄，高频成分越丰富；脉冲类型（如后峰齿形、矩形、三角形等）决定了动力系数</w:t>
      </w:r>
      <m:oMath>
        <m:sSub>
          <m:sSubPr>
            <m:ctrlPr>
              <w:rPr>
                <w:rFonts w:ascii="Cambria Math" w:hAnsi="Cambria Math"/>
              </w:rPr>
            </m:ctrlPr>
          </m:sSubPr>
          <m:e>
            <m:r>
              <m:rPr/>
              <w:rPr>
                <w:rFonts w:ascii="Cambria Math" w:hAnsi="Cambria Math"/>
              </w:rPr>
              <m:t>η</m:t>
            </m:r>
            <m:ctrlPr>
              <w:rPr>
                <w:rFonts w:ascii="Cambria Math" w:hAnsi="Cambria Math"/>
              </w:rPr>
            </m:ctrlPr>
          </m:e>
          <m:sub>
            <m:r>
              <m:rPr/>
              <w:rPr>
                <w:rFonts w:ascii="Cambria Math" w:hAnsi="Cambria Math"/>
              </w:rPr>
              <m:t>max</m:t>
            </m:r>
            <m:ctrlPr>
              <w:rPr>
                <w:rFonts w:ascii="Cambria Math" w:hAnsi="Cambria Math"/>
              </w:rPr>
            </m:ctrlPr>
          </m:sub>
        </m:sSub>
      </m:oMath>
      <w:r>
        <w:t>的取值（参见附录B），直接影响振动位移和加速度的计算结果。</w:t>
      </w:r>
    </w:p>
    <w:p w14:paraId="3E486941">
      <w:pPr>
        <w:spacing w:before="156"/>
        <w:ind w:firstLine="480"/>
      </w:pPr>
      <w:r>
        <w:t>计算获取特征参数：通过对时域信号进行进一步的数学处理，可以提取更深层次的信息。</w:t>
      </w:r>
    </w:p>
    <w:p w14:paraId="7AFAA6DF">
      <w:pPr>
        <w:spacing w:before="156"/>
        <w:ind w:firstLine="480"/>
      </w:pPr>
      <w:r>
        <w:t>等效加速度/等效作用时间：可用于将复杂的冲击波形简化为标准脉冲，便于进行理论计算和对比分析。</w:t>
      </w:r>
    </w:p>
    <w:p w14:paraId="7CE0A50E">
      <w:pPr>
        <w:spacing w:before="156"/>
        <w:ind w:firstLine="480"/>
      </w:pPr>
      <w:r>
        <w:t>相关函数：可用于分析信号在不同时间点上的相似性或周期性，判断信号中是否存在重复冲击或特定模式的振动。</w:t>
      </w:r>
    </w:p>
    <w:p w14:paraId="51290797">
      <w:pPr>
        <w:spacing w:before="156"/>
        <w:ind w:firstLine="480"/>
      </w:pPr>
      <w:r>
        <w:t>概率密度函数：描述了振动信号幅值在不同强度水平上出现的概率分布，有助于了解冲击振动的统计特性，判断其是否服从某种分布（如正态分布），为随机振动分析提供基础。</w:t>
      </w:r>
    </w:p>
    <w:p w14:paraId="2E150F49">
      <w:pPr>
        <w:spacing w:before="156"/>
        <w:ind w:firstLine="480"/>
        <w:rPr>
          <w:kern w:val="0"/>
          <w:szCs w:val="24"/>
        </w:rPr>
      </w:pPr>
      <w:r>
        <w:rPr>
          <w:kern w:val="0"/>
          <w:szCs w:val="24"/>
        </w:rPr>
        <w:t>综上，本条规定的要求旨在从时域角度全面、准确地表征锻锤冲击振动的动力特性，为后续的频域分析、结构设计验证和振动评估提供可靠的数据支持。</w:t>
      </w:r>
    </w:p>
    <w:p w14:paraId="45761608">
      <w:pPr>
        <w:spacing w:before="156"/>
        <w:ind w:firstLine="480"/>
      </w:pPr>
      <w:r>
        <w:rPr>
          <w:rFonts w:hint="eastAsia"/>
        </w:rPr>
        <w:t>5</w:t>
      </w:r>
      <w:r>
        <w:t>.2.3 本条规定了在频域内对锻锤基础冲击振动信号进行分析时应包含的主要内容，旨在从频率维度揭示振动能量的分布特征、系统固有特性及振动传递规律，为振动评估和控制提供依据。</w:t>
      </w:r>
    </w:p>
    <w:p w14:paraId="6DEBDB94">
      <w:pPr>
        <w:spacing w:before="156"/>
        <w:ind w:firstLine="480"/>
        <w:rPr>
          <w:kern w:val="0"/>
          <w:szCs w:val="24"/>
        </w:rPr>
      </w:pPr>
      <w:r>
        <w:rPr>
          <w:rFonts w:hint="eastAsia"/>
        </w:rPr>
        <w:t>1</w:t>
      </w:r>
      <w:r>
        <w:t xml:space="preserve"> 冲击响应谱分析：</w:t>
      </w:r>
      <w:r>
        <w:rPr>
          <w:kern w:val="0"/>
          <w:szCs w:val="24"/>
        </w:rPr>
        <w:t>冲击响应谱用于描述冲击激励对一系列不同固有频率单自由度系统的最大响应，能有效反映冲击荷载的频率成分及其对结构的潜在破坏能力。通常计算绝对加速度响应谱。分析时需合理设置频率范围（应覆盖锻锤工作可能激发的主要频段）和阻尼比（可采用测试估算或经验值）。其结果可用于评估冲击振动对精密设备、建筑结构或人体舒适性的影响，并与容许振动标准中的频域限值进行对比。</w:t>
      </w:r>
    </w:p>
    <w:p w14:paraId="2823350C">
      <w:pPr>
        <w:spacing w:before="156"/>
        <w:ind w:firstLine="480"/>
        <w:rPr>
          <w:kern w:val="0"/>
          <w:szCs w:val="24"/>
        </w:rPr>
      </w:pPr>
      <w:r>
        <w:rPr>
          <w:rFonts w:hint="eastAsia"/>
        </w:rPr>
        <w:t>2</w:t>
      </w:r>
      <w:r>
        <w:t xml:space="preserve"> 幅相频特性分析：</w:t>
      </w:r>
      <w:r>
        <w:rPr>
          <w:kern w:val="0"/>
          <w:szCs w:val="24"/>
        </w:rPr>
        <w:t>通过傅里叶变换得到振动信号的幅值谱和相位谱，用以识别振动的主导频率、谐波成分、系统共振频率以及信号在各频率分量上的相位关系。对预处理后的时域信号进行快速傅里叶变换（FFT），获取频率-幅值（幅值谱）和频率-相位（相位谱）曲线。应注意频率分辨率和泄漏效应的影响。幅值谱可直观显示振动能量集中的频带，帮助判断振源特性和传播路径中的放大频段；相位谱可用于模态分析或故障诊断。</w:t>
      </w:r>
    </w:p>
    <w:p w14:paraId="7CC8C4DD">
      <w:pPr>
        <w:spacing w:before="156"/>
        <w:ind w:firstLine="480"/>
        <w:rPr>
          <w:kern w:val="0"/>
          <w:szCs w:val="24"/>
        </w:rPr>
      </w:pPr>
      <w:r>
        <w:t>3 能量谱、功率谱分析：</w:t>
      </w:r>
      <w:r>
        <w:rPr>
          <w:kern w:val="0"/>
          <w:szCs w:val="24"/>
        </w:rPr>
        <w:t>能量谱密度（ESD）描述冲击信号能量在频域上的分布，适用于瞬态冲击信号；功率谱密度（PSD）描述随机或稳态信号功率在频域上的分布，适用于连续运行锻锤的稳态振动成分或随机背景振动。对于明确的冲击瞬态信号，宜采用能量谱密度分析；对于包含稳态或随机成分的信号，可采用自功率谱密度分析。分析中应注意窗函数的选择和平均方式。能量谱/功率谱分析可以量化不同频率成分的能量/功率大小，用于评估振动能量的频域分布特征，识别主要振源频率，并为隔振设计提供输入。</w:t>
      </w:r>
    </w:p>
    <w:p w14:paraId="66626312">
      <w:pPr>
        <w:pStyle w:val="4"/>
        <w:spacing w:before="156"/>
      </w:pPr>
      <w:bookmarkStart w:id="64" w:name="_Toc206578576"/>
      <w:r>
        <w:t>5</w:t>
      </w:r>
      <w:r>
        <w:rPr>
          <w:rFonts w:hint="eastAsia"/>
        </w:rPr>
        <w:t>.3</w:t>
      </w:r>
      <w:r>
        <w:t xml:space="preserve"> </w:t>
      </w:r>
      <w:r>
        <w:rPr>
          <w:rFonts w:hint="eastAsia"/>
        </w:rPr>
        <w:t>振动评估</w:t>
      </w:r>
      <w:bookmarkEnd w:id="64"/>
    </w:p>
    <w:p w14:paraId="514E129F">
      <w:pPr>
        <w:spacing w:before="156"/>
        <w:ind w:firstLine="482"/>
      </w:pPr>
      <w:r>
        <w:rPr>
          <w:rFonts w:cs="Times New Roman"/>
          <w:b/>
          <w:szCs w:val="24"/>
        </w:rPr>
        <w:t>5.3.1</w:t>
      </w:r>
      <w:r>
        <w:rPr>
          <w:rFonts w:cs="Times New Roman"/>
          <w:szCs w:val="24"/>
        </w:rPr>
        <w:t>　</w:t>
      </w:r>
      <w:r>
        <w:t>本条规定了锻锤基础振动测试结果的取值原则。锻锤的荷载性质为瞬时冲击荷载，其振动响应具有瞬态、高幅值、短持续时间的特点。结构的最大动应力、设备连接的可靠性以及对人体的冲击感受，主要由振动响应的峰值（最大值）决定。</w:t>
      </w:r>
    </w:p>
    <w:p w14:paraId="3B2D39ED">
      <w:pPr>
        <w:spacing w:before="156"/>
        <w:ind w:firstLine="480"/>
        <w:rPr>
          <w:kern w:val="0"/>
          <w:szCs w:val="24"/>
        </w:rPr>
      </w:pPr>
      <w:r>
        <w:rPr>
          <w:kern w:val="0"/>
          <w:szCs w:val="24"/>
        </w:rPr>
        <w:t>与稳态振动或随机振动采用有效值（RMS）作为评价指标不同，冲击型振动必须采用时域内的峰值响应进行评价，方能真实、安全地反映其动力效应。因此，本标准规定，振动测试的结果应以各控制点测得的时域瞬态响应最大值作为评价依据，并与本标准第3.5节规定的容许振动峰值标准进行对比，判断是否满足要求。</w:t>
      </w:r>
    </w:p>
    <w:p w14:paraId="7447D11D">
      <w:pPr>
        <w:spacing w:before="156"/>
        <w:ind w:firstLine="480"/>
      </w:pPr>
      <w:r>
        <w:rPr>
          <w:rFonts w:hint="eastAsia"/>
        </w:rPr>
        <w:t>5</w:t>
      </w:r>
      <w:r>
        <w:t>.3.2 本条规定了振动测试数据的处理与取值原则，旨在确保测试结果的可靠性、稳定性和准确性。</w:t>
      </w:r>
    </w:p>
    <w:p w14:paraId="022E284B">
      <w:pPr>
        <w:spacing w:before="156"/>
        <w:ind w:firstLine="480"/>
        <w:rPr>
          <w:kern w:val="0"/>
          <w:szCs w:val="24"/>
        </w:rPr>
      </w:pPr>
      <w:r>
        <w:t>以控制点数据为准：锻锤基础的振动响应具有空间分布特性。控制点（通常</w:t>
      </w:r>
      <w:r>
        <w:rPr>
          <w:kern w:val="0"/>
          <w:szCs w:val="24"/>
        </w:rPr>
        <w:t>位于基础顶面角点、边中点或隔振器关键位置）的响应最大，最能代表基础的最不利工作状态，是评估其是否满足容许振动标准的关键。因此，必须以这些控制点的测试数据作为评价依据。</w:t>
      </w:r>
    </w:p>
    <w:p w14:paraId="3FCC884F">
      <w:pPr>
        <w:spacing w:before="156"/>
        <w:ind w:firstLine="480"/>
        <w:rPr>
          <w:kern w:val="0"/>
          <w:szCs w:val="24"/>
        </w:rPr>
      </w:pPr>
      <w:r>
        <w:t>有效数据次数要求（不少于3次）：锻锤打击是瞬态冲击过程，单次打击的</w:t>
      </w:r>
      <w:r>
        <w:rPr>
          <w:kern w:val="0"/>
          <w:szCs w:val="24"/>
        </w:rPr>
        <w:t>振动响应可能受到锻件材质、温度、操作手法等偶然因素的影响，存在一定离散</w:t>
      </w:r>
      <w:r>
        <w:t>性。规定不少于3次的有效记录，是为了通过多次测量来抵消偶然误差，获取更</w:t>
      </w:r>
      <w:r>
        <w:rPr>
          <w:kern w:val="0"/>
          <w:szCs w:val="24"/>
        </w:rPr>
        <w:t>具代表性的数据，避免以单次偶然结果作为评判依据。</w:t>
      </w:r>
    </w:p>
    <w:p w14:paraId="249607FC">
      <w:pPr>
        <w:spacing w:before="156"/>
        <w:ind w:firstLine="480"/>
      </w:pPr>
      <w:r>
        <w:t>相对误差控制与取值（±5%，取平均值）：该款规定了数据有效性的判定标准和处理方法。</w:t>
      </w:r>
    </w:p>
    <w:p w14:paraId="2ABD0B64">
      <w:pPr>
        <w:spacing w:before="156"/>
        <w:ind w:firstLine="480"/>
      </w:pPr>
      <w:r>
        <w:t>±5%的相对误差限值：是衡量多次测量数据一致性和重复性的关键指标。若各次测量的最大值（或最小值）与算术平均值之间的相对误差超过此限值，说明数据离散性较大，可能表明测试系统不稳定、测点松动、锻锤工作状态异常或每次打击工况存在显著差异。此时应查明原因并重新测试，而非简单地取平均值，否则将导致评估结果失真。</w:t>
      </w:r>
    </w:p>
    <w:p w14:paraId="316AC1B0">
      <w:pPr>
        <w:spacing w:before="156"/>
        <w:ind w:firstLine="480"/>
      </w:pPr>
      <w:r>
        <w:t>取算术平均值：当数据稳定性良好（满足±5%误差要求）时，取算术平均值作为最终测试结果，这是一种消除随机误差、逼近真值的常用数据处理方法，能使测试结果更真实地反映锻锤基础在稳定工况下的振动水平。</w:t>
      </w:r>
    </w:p>
    <w:p w14:paraId="679545EA">
      <w:pPr>
        <w:spacing w:before="156"/>
        <w:ind w:firstLine="480"/>
        <w:rPr>
          <w:kern w:val="0"/>
          <w:szCs w:val="24"/>
        </w:rPr>
      </w:pPr>
      <w:r>
        <w:t>综上，本条规定通过确定关键测点、要求最小数据量和设定数据一致性标准，</w:t>
      </w:r>
      <w:r>
        <w:rPr>
          <w:kern w:val="0"/>
          <w:szCs w:val="24"/>
        </w:rPr>
        <w:t>共同构成了保证锻锤基础振动测试结果科学、准确、可信的有效措施。</w:t>
      </w:r>
    </w:p>
    <w:p w14:paraId="3665D90D">
      <w:pPr>
        <w:pageBreakBefore/>
        <w:spacing w:before="156" w:line="360" w:lineRule="auto"/>
        <w:ind w:firstLine="0" w:firstLineChars="0"/>
        <w:jc w:val="center"/>
        <w:outlineLvl w:val="1"/>
        <w:rPr>
          <w:rFonts w:eastAsia="微软雅黑" w:cstheme="majorBidi"/>
          <w:bCs/>
          <w:sz w:val="28"/>
          <w:szCs w:val="32"/>
        </w:rPr>
      </w:pPr>
      <w:bookmarkStart w:id="65" w:name="_Toc206578577"/>
      <w:r>
        <w:rPr>
          <w:rFonts w:eastAsia="微软雅黑" w:cstheme="majorBidi"/>
          <w:bCs/>
          <w:sz w:val="28"/>
          <w:szCs w:val="32"/>
        </w:rPr>
        <w:t xml:space="preserve">6 </w:t>
      </w:r>
      <w:r>
        <w:rPr>
          <w:rFonts w:hint="eastAsia" w:eastAsia="微软雅黑" w:cstheme="majorBidi"/>
          <w:bCs/>
          <w:sz w:val="28"/>
          <w:szCs w:val="32"/>
        </w:rPr>
        <w:t>荷载分类与荷载组合</w:t>
      </w:r>
      <w:bookmarkEnd w:id="65"/>
    </w:p>
    <w:p w14:paraId="7C44A1B5">
      <w:pPr>
        <w:spacing w:before="156" w:line="240" w:lineRule="auto"/>
        <w:ind w:firstLine="0" w:firstLineChars="0"/>
        <w:jc w:val="center"/>
        <w:outlineLvl w:val="2"/>
        <w:rPr>
          <w:bCs/>
          <w:sz w:val="28"/>
          <w:szCs w:val="32"/>
        </w:rPr>
      </w:pPr>
      <w:bookmarkStart w:id="66" w:name="_Toc206578578"/>
      <w:r>
        <w:rPr>
          <w:bCs/>
          <w:sz w:val="28"/>
          <w:szCs w:val="32"/>
        </w:rPr>
        <w:t xml:space="preserve">6.1 </w:t>
      </w:r>
      <w:r>
        <w:rPr>
          <w:rFonts w:hint="eastAsia"/>
          <w:bCs/>
          <w:sz w:val="28"/>
          <w:szCs w:val="32"/>
        </w:rPr>
        <w:t>一般规定</w:t>
      </w:r>
      <w:bookmarkEnd w:id="66"/>
    </w:p>
    <w:p w14:paraId="2EB4CA31">
      <w:pPr>
        <w:spacing w:before="156"/>
        <w:ind w:firstLine="480"/>
      </w:pPr>
      <w:r>
        <w:rPr>
          <w:rFonts w:hint="eastAsia"/>
        </w:rPr>
        <w:t>6.1.1　荷载分类与荷载组合应符合下列原则：锻锤基础在设计过程中需同时考虑静力荷载、振动荷载及地震作用等多种荷载工况。静力荷载是基础长期承受的恒载与活载，振动荷载是锻锤工作时产生的周期性或冲击性动力作用，地震作用则是偶然性的极端荷载。本条规定明确了锻锤基础设计必须进行多工况荷载组合分析，以确保结构在各类荷载作用下的安全性与适用性。</w:t>
      </w:r>
    </w:p>
    <w:p w14:paraId="667E7B71">
      <w:pPr>
        <w:spacing w:before="156"/>
        <w:ind w:firstLine="480"/>
      </w:pPr>
      <w:r>
        <w:rPr>
          <w:rFonts w:hint="eastAsia"/>
        </w:rPr>
        <w:t>3.1.2</w:t>
      </w:r>
      <w:r>
        <w:t xml:space="preserve"> 位于抗震设防烈度7度及以上地区的大型锻锤基础，其地震作用效应显著，应按照现行国家标准《建筑抗震设计标准》GB/T 50011进行抗震验算。本条强调了对重要锻锤基础抗震设计的强制性要求，以防止在地震作用下发生严重破坏或功能失效。</w:t>
      </w:r>
    </w:p>
    <w:p w14:paraId="79826785">
      <w:pPr>
        <w:spacing w:before="156"/>
        <w:ind w:firstLine="480"/>
      </w:pPr>
      <w:r>
        <w:rPr>
          <w:rFonts w:hint="eastAsia"/>
        </w:rPr>
        <w:t>3.1.3</w:t>
      </w:r>
      <w:r>
        <w:t xml:space="preserve"> </w:t>
      </w:r>
      <w:r>
        <w:rPr>
          <w:rFonts w:hint="eastAsia"/>
        </w:rPr>
        <w:t>锻锤基础设计应满足承载力极限状态和正常使用极限状态的要求。承载力极限状态确保结构不发生破坏或失稳，正常使用极限状态则控制振动幅值、变形和裂缝等使用性能指标。荷载组合时应根据不同极限状态选用相应的分项系数和组合值系数。</w:t>
      </w:r>
    </w:p>
    <w:p w14:paraId="7D07FCAF">
      <w:pPr>
        <w:spacing w:before="156"/>
        <w:ind w:firstLine="480"/>
      </w:pPr>
      <w:r>
        <w:rPr>
          <w:rFonts w:hint="eastAsia"/>
        </w:rPr>
        <w:t>6.1.4</w:t>
      </w:r>
      <w:r>
        <w:t xml:space="preserve"> </w:t>
      </w:r>
      <w:r>
        <w:rPr>
          <w:rFonts w:hint="eastAsia"/>
        </w:rPr>
        <w:t>本条明确要求荷载分项系数和组合值系数的取值应遵循《建筑结构荷载规范》GB 50009和《工程结构通用规范》GB 55001的规定。这些系数反映了荷载的变异性、组合效应及结构可靠度要求，是保证设计安全与经济合理的重要依据。</w:t>
      </w:r>
    </w:p>
    <w:p w14:paraId="380BC0DF">
      <w:pPr>
        <w:spacing w:before="156" w:line="240" w:lineRule="auto"/>
        <w:ind w:firstLine="0" w:firstLineChars="0"/>
        <w:jc w:val="center"/>
        <w:outlineLvl w:val="2"/>
        <w:rPr>
          <w:bCs/>
          <w:sz w:val="28"/>
          <w:szCs w:val="32"/>
        </w:rPr>
      </w:pPr>
      <w:bookmarkStart w:id="67" w:name="_Toc206578579"/>
      <w:r>
        <w:rPr>
          <w:bCs/>
          <w:sz w:val="28"/>
          <w:szCs w:val="32"/>
        </w:rPr>
        <w:t xml:space="preserve">6.2 </w:t>
      </w:r>
      <w:r>
        <w:rPr>
          <w:rFonts w:hint="eastAsia"/>
          <w:bCs/>
          <w:sz w:val="28"/>
          <w:szCs w:val="32"/>
        </w:rPr>
        <w:t>静力荷载</w:t>
      </w:r>
      <w:bookmarkEnd w:id="67"/>
    </w:p>
    <w:p w14:paraId="153DBBE9">
      <w:pPr>
        <w:spacing w:before="156"/>
        <w:ind w:firstLine="482"/>
      </w:pPr>
      <w:r>
        <w:rPr>
          <w:rFonts w:cs="Times New Roman"/>
          <w:b/>
          <w:szCs w:val="24"/>
        </w:rPr>
        <w:t>6.2.1</w:t>
      </w:r>
      <w:r>
        <w:rPr>
          <w:rFonts w:cs="Times New Roman"/>
          <w:szCs w:val="24"/>
        </w:rPr>
        <w:t>　</w:t>
      </w:r>
      <w:r>
        <w:rPr>
          <w:rFonts w:hint="eastAsia" w:cs="Times New Roman"/>
          <w:szCs w:val="24"/>
        </w:rPr>
        <w:t>锻锤基础设计时应考虑的静力荷载种类。静力荷载包括永久荷载、可变荷载以及由动力效应等效而来的静力荷载。荷载取值依据《建筑结构荷载规范》GB 50009，确保荷载标准的统一性和可靠性。设计中需特别注意锻锤设备及其辅助设施的重量，这些荷载是基础设计的主要静力来源。</w:t>
      </w:r>
    </w:p>
    <w:p w14:paraId="325E1A65">
      <w:pPr>
        <w:spacing w:before="156"/>
        <w:ind w:firstLine="480"/>
      </w:pPr>
      <w:r>
        <w:rPr>
          <w:rFonts w:hint="eastAsia"/>
        </w:rPr>
        <w:t>6.2.2</w:t>
      </w:r>
      <w:r>
        <w:t xml:space="preserve"> </w:t>
      </w:r>
      <w:r>
        <w:rPr>
          <w:rFonts w:hint="eastAsia"/>
        </w:rPr>
        <w:t>永久荷载应包括基础自重、基础上部填土重量、固定设备重量、土压力、水压力等。这些荷载在结构使用期间其值不随时间变化，或其变化与平均值相比可以忽略不计。计算时需准确评估基础及上部结构的实际重量，尤其要注意大型锻锤设备及附属结构的重量分布。</w:t>
      </w:r>
    </w:p>
    <w:p w14:paraId="1BF81BD8">
      <w:pPr>
        <w:spacing w:before="156"/>
        <w:ind w:firstLine="480"/>
      </w:pPr>
      <w:r>
        <w:rPr>
          <w:rFonts w:hint="eastAsia"/>
        </w:rPr>
        <w:t>6.2.3</w:t>
      </w:r>
      <w:r>
        <w:t xml:space="preserve"> </w:t>
      </w:r>
      <w:r>
        <w:rPr>
          <w:rFonts w:hint="eastAsia"/>
        </w:rPr>
        <w:t>可变荷载应包括锻锤及其辅助设备的重量、移动工作台重量、运输工具满载重量、操作人员及工具等活荷载。这些荷载的大小、位置可能随时间变化，设计时应根据工艺布置和最大可能荷载取值，并考虑其最不利布置。</w:t>
      </w:r>
    </w:p>
    <w:p w14:paraId="16894F93">
      <w:pPr>
        <w:spacing w:before="156"/>
        <w:ind w:firstLine="480"/>
      </w:pPr>
      <w:r>
        <w:rPr>
          <w:rFonts w:hint="eastAsia"/>
        </w:rPr>
        <w:t>6.2.4</w:t>
      </w:r>
      <w:r>
        <w:t xml:space="preserve"> </w:t>
      </w:r>
      <w:r>
        <w:rPr>
          <w:rFonts w:hint="eastAsia"/>
        </w:rPr>
        <w:t>锻锤工作时产生的巨大冲击荷载会对厂房结构产生动力效应。本条通过引入动力系数</w:t>
      </w:r>
      <m:oMath>
        <m:sSub>
          <m:sSubPr>
            <m:ctrlPr>
              <w:rPr>
                <w:rFonts w:ascii="Cambria Math" w:hAnsi="Cambria Math"/>
                <w:i/>
              </w:rPr>
            </m:ctrlPr>
          </m:sSubPr>
          <m:e>
            <m:r>
              <m:rPr/>
              <w:rPr>
                <w:rFonts w:ascii="Cambria Math" w:hAnsi="Cambria Math"/>
              </w:rPr>
              <m:t>β</m:t>
            </m:r>
            <m:ctrlPr>
              <w:rPr>
                <w:rFonts w:ascii="Cambria Math" w:hAnsi="Cambria Math"/>
                <w:i/>
              </w:rPr>
            </m:ctrlPr>
          </m:e>
          <m:sub>
            <m:r>
              <m:rPr/>
              <w:rPr>
                <w:rFonts w:hint="eastAsia" w:ascii="Cambria Math" w:hAnsi="Cambria Math"/>
              </w:rPr>
              <m:t>d</m:t>
            </m:r>
            <m:ctrlPr>
              <w:rPr>
                <w:rFonts w:ascii="Cambria Math" w:hAnsi="Cambria Math"/>
                <w:i/>
              </w:rPr>
            </m:ctrlPr>
          </m:sub>
        </m:sSub>
      </m:oMath>
      <w:r>
        <w:rPr>
          <w:rFonts w:hint="eastAsia"/>
        </w:rPr>
        <w:t>，将动力效应转化为等效静力荷载进行设计，简化了计算过程。表中给出的动力系数取值范围是基于大量工程实践和试验数据，并考虑了锻锤吨位（落下部分质量）和基础隔振形式的影响。</w:t>
      </w:r>
    </w:p>
    <w:p w14:paraId="22BD8910">
      <w:pPr>
        <w:spacing w:before="156"/>
        <w:ind w:firstLine="480"/>
      </w:pPr>
      <w:r>
        <w:rPr>
          <w:rFonts w:hint="eastAsia"/>
        </w:rPr>
        <w:t>表</w:t>
      </w:r>
      <w:r>
        <w:t>6.2.4</w:t>
      </w:r>
      <w:r>
        <w:rPr>
          <w:rFonts w:hint="eastAsia"/>
        </w:rPr>
        <w:t>中明确规定了系数的取值原则。表中数值取值是，要考虑落下部分质量。落锤质量越小，动力系数取小值；落锤质量越大，动力系数取大值；中间值可采用线性插值确定。这体现了对不同规模锻锤冲击效应差异性的考虑。</w:t>
      </w:r>
    </w:p>
    <w:p w14:paraId="22039B51">
      <w:pPr>
        <w:spacing w:before="156"/>
        <w:ind w:firstLine="480"/>
      </w:pPr>
      <w:r>
        <w:rPr>
          <w:rFonts w:hint="eastAsia"/>
        </w:rPr>
        <w:t>图6.2.4直观地标明了不同动力系数所对应的厂房结构部位，便于设计人员正确应用。</w:t>
      </w:r>
    </w:p>
    <w:p w14:paraId="350CC53F">
      <w:pPr>
        <w:spacing w:before="156" w:line="240" w:lineRule="auto"/>
        <w:ind w:firstLine="0" w:firstLineChars="0"/>
        <w:jc w:val="center"/>
        <w:outlineLvl w:val="2"/>
        <w:rPr>
          <w:bCs/>
          <w:sz w:val="28"/>
          <w:szCs w:val="32"/>
        </w:rPr>
      </w:pPr>
      <w:bookmarkStart w:id="68" w:name="_Toc206578580"/>
      <w:r>
        <w:rPr>
          <w:bCs/>
          <w:sz w:val="28"/>
          <w:szCs w:val="32"/>
        </w:rPr>
        <w:t xml:space="preserve">6.3 </w:t>
      </w:r>
      <w:r>
        <w:rPr>
          <w:rFonts w:hint="eastAsia"/>
          <w:bCs/>
          <w:sz w:val="28"/>
          <w:szCs w:val="32"/>
        </w:rPr>
        <w:t>振动荷载</w:t>
      </w:r>
      <w:bookmarkEnd w:id="68"/>
    </w:p>
    <w:p w14:paraId="2F293A73">
      <w:pPr>
        <w:spacing w:before="156"/>
        <w:ind w:firstLine="480"/>
      </w:pPr>
      <w:r>
        <w:rPr>
          <w:rFonts w:hint="eastAsia"/>
        </w:rPr>
        <w:t>6.3.1　锻锤工作的本质是巨大的冲击能量在极短时间内释放，其产生的振动荷载是基础设计的控制性动力输入。本条规定了振动荷载数据获取的优先次序。最准确的数据应来源于设备制造厂家，因其掌握设备的精确动力学参数和冲击特性。若无法从厂家获取，应通过现场实测确定（详见本标准第5章）。当上述两种途径均不可行时，方可依据现行国家标准《建筑振动荷载标准》GB/T 51228中的经验方法进行估算。设计人员应注意，估算值可能存在偏差，在重要工程或复杂地质条件下应谨慎采用。</w:t>
      </w:r>
    </w:p>
    <w:p w14:paraId="39AE1B09">
      <w:pPr>
        <w:spacing w:before="156"/>
        <w:ind w:firstLine="480"/>
      </w:pPr>
      <w:r>
        <w:rPr>
          <w:rFonts w:hint="eastAsia"/>
        </w:rPr>
        <w:t>6.3.2</w:t>
      </w:r>
      <w:r>
        <w:t xml:space="preserve"> </w:t>
      </w:r>
      <w:r>
        <w:rPr>
          <w:rFonts w:hint="eastAsia"/>
        </w:rPr>
        <w:t>锻锤的冲击作用时间极短，但其引起的系统振动响应却与冲击力的时间历程（波形）密切相关。为便于进行理论分析和数值计算，本条建议采用五种典型的理想脉冲函数来近似模拟实际的冲击荷载。选择哪种脉冲函数，需根据锻锤的具体类型、工艺（如热锻、冷锻）以及砧座与基础的垫层特性综合判断。例如，后峰齿形脉冲和对称三角形脉冲常用于模拟能量较小或垫层较软的冲击；而矩形脉冲和正矢脉冲则更适用于模拟能量巨大、作用时间极短的刚性冲击。</w:t>
      </w:r>
    </w:p>
    <w:p w14:paraId="2FC717C9">
      <w:pPr>
        <w:spacing w:before="156"/>
        <w:ind w:firstLine="480"/>
      </w:pPr>
      <w:r>
        <w:rPr>
          <w:rFonts w:hint="eastAsia"/>
        </w:rPr>
        <w:t>6.3.3</w:t>
      </w:r>
      <w:r>
        <w:t xml:space="preserve"> 无论采用哪种脉冲函数，都必须明确其三个核心参数：冲击类型（选择函数形态）、脉冲峰值</w:t>
      </w:r>
      <w:r>
        <w:rPr>
          <w:rFonts w:hint="eastAsia"/>
        </w:rPr>
        <w:t>（</w:t>
      </w:r>
      <m:oMath>
        <m:sSub>
          <m:sSubPr>
            <m:ctrlPr>
              <w:rPr>
                <w:rFonts w:ascii="Cambria Math" w:hAnsi="Cambria Math"/>
              </w:rPr>
            </m:ctrlPr>
          </m:sSubPr>
          <m:e>
            <m:r>
              <m:rPr/>
              <w:rPr>
                <w:rFonts w:hint="eastAsia" w:ascii="Cambria Math" w:hAnsi="Cambria Math"/>
              </w:rPr>
              <m:t>F</m:t>
            </m:r>
            <m:ctrlPr>
              <w:rPr>
                <w:rFonts w:ascii="Cambria Math" w:hAnsi="Cambria Math"/>
              </w:rPr>
            </m:ctrlPr>
          </m:e>
          <m:sub>
            <m:r>
              <m:rPr/>
              <w:rPr>
                <w:rFonts w:ascii="Cambria Math" w:hAnsi="Cambria Math"/>
              </w:rPr>
              <m:t>p</m:t>
            </m:r>
            <m:ctrlPr>
              <w:rPr>
                <w:rFonts w:ascii="Cambria Math" w:hAnsi="Cambria Math"/>
              </w:rPr>
            </m:ctrlPr>
          </m:sub>
        </m:sSub>
      </m:oMath>
      <w:r>
        <w:t>，力的最大值）和持续时间（</w:t>
      </w:r>
      <m:oMath>
        <m:sSub>
          <m:sSubPr>
            <m:ctrlPr>
              <w:rPr>
                <w:rFonts w:ascii="Cambria Math" w:hAnsi="Cambria Math"/>
                <w:bCs/>
              </w:rPr>
            </m:ctrlPr>
          </m:sSubPr>
          <m:e>
            <m:r>
              <m:rPr>
                <m:sty m:val="p"/>
              </m:rPr>
              <w:rPr>
                <w:rFonts w:ascii="Cambria Math" w:hAnsi="Cambria Math"/>
              </w:rPr>
              <m:t>t</m:t>
            </m:r>
            <m:ctrlPr>
              <w:rPr>
                <w:rFonts w:ascii="Cambria Math" w:hAnsi="Cambria Math"/>
                <w:bCs/>
              </w:rPr>
            </m:ctrlPr>
          </m:e>
          <m:sub>
            <m:r>
              <m:rPr>
                <m:sty m:val="p"/>
              </m:rPr>
              <w:rPr>
                <w:rFonts w:ascii="Cambria Math" w:hAnsi="Cambria Math"/>
              </w:rPr>
              <m:t>0</m:t>
            </m:r>
            <m:ctrlPr>
              <w:rPr>
                <w:rFonts w:ascii="Cambria Math" w:hAnsi="Cambria Math"/>
                <w:bCs/>
              </w:rPr>
            </m:ctrlPr>
          </m:sub>
        </m:sSub>
      </m:oMath>
      <w:r>
        <w:t>）。脉冲峰值和持续时间是计算基础振动响应的关键输入变量，其取值准确性直接关系到设计结果的安全性与经济性。这些参数应优先采用第6.3.1条规定途径获取的数据。</w:t>
      </w:r>
    </w:p>
    <w:p w14:paraId="650B5AAE">
      <w:pPr>
        <w:spacing w:before="156"/>
        <w:ind w:firstLine="480"/>
      </w:pPr>
      <w:r>
        <w:rPr>
          <w:rFonts w:hint="eastAsia"/>
        </w:rPr>
        <w:t>6</w:t>
      </w:r>
      <w:r>
        <w:t xml:space="preserve">.3.4 </w:t>
      </w:r>
      <w:r>
        <w:rPr>
          <w:rFonts w:hint="eastAsia"/>
        </w:rPr>
        <w:t>本条规定了在设计前期，需向设备厂家索取的关键技术参数清单。这些资料是进行精准动力分析和基础设计的根本依据。“打击力”和“打击时间”是脉冲函数的核心参数；“振动频率范围”有助于判断是否会发生共振；“作用位置、方向和大小”决定了荷载的施加方式（集中力、力矩等）；“设备的动力特性”如设备总质量、质心、转动惯量等，是建立准确动力学模型所必需的。</w:t>
      </w:r>
    </w:p>
    <w:p w14:paraId="1CD2A2B5">
      <w:pPr>
        <w:spacing w:before="156"/>
        <w:ind w:firstLine="480"/>
      </w:pPr>
      <w:r>
        <w:rPr>
          <w:rFonts w:hint="eastAsia"/>
        </w:rPr>
        <w:t>6</w:t>
      </w:r>
      <w:r>
        <w:t xml:space="preserve">.3.5 </w:t>
      </w:r>
      <w:r>
        <w:rPr>
          <w:rFonts w:hint="eastAsia"/>
        </w:rPr>
        <w:t>此条是第6.3.1条的补充和延伸。当确实无法从厂家获得详细荷载资料，但厂家能提供一些基本技术参数（如公称吨位、落下部分质量、最大打击能量、行程等）时，可按《建筑振动荷载标准》GB/T 51228中提供的基于大量工程经验总结出的经验公式和方法来推算振动荷载。这是一种在缺乏直接数据情况下的实用化设计手段。</w:t>
      </w:r>
    </w:p>
    <w:p w14:paraId="3ACB9152">
      <w:pPr>
        <w:pStyle w:val="4"/>
        <w:spacing w:before="156"/>
      </w:pPr>
      <w:bookmarkStart w:id="69" w:name="_Toc206578581"/>
      <w:r>
        <w:t xml:space="preserve">6.4 </w:t>
      </w:r>
      <w:r>
        <w:rPr>
          <w:rFonts w:hint="eastAsia"/>
        </w:rPr>
        <w:t>地震作用</w:t>
      </w:r>
      <w:bookmarkEnd w:id="69"/>
    </w:p>
    <w:p w14:paraId="427E4BA2">
      <w:pPr>
        <w:spacing w:before="156"/>
        <w:ind w:firstLine="482"/>
        <w:rPr>
          <w:rFonts w:cs="Times New Roman"/>
          <w:szCs w:val="24"/>
        </w:rPr>
      </w:pPr>
      <w:r>
        <w:rPr>
          <w:rFonts w:cs="Times New Roman"/>
          <w:b/>
          <w:szCs w:val="24"/>
        </w:rPr>
        <w:t>6.4.1</w:t>
      </w:r>
      <w:r>
        <w:rPr>
          <w:rFonts w:cs="Times New Roman"/>
          <w:szCs w:val="24"/>
        </w:rPr>
        <w:t>　</w:t>
      </w:r>
      <w:r>
        <w:rPr>
          <w:rFonts w:hint="eastAsia" w:cs="Times New Roman"/>
          <w:szCs w:val="24"/>
        </w:rPr>
        <w:t>本条明确了锻锤基础地震作用计算的基本输入参数来源。抗震设防烈度、设计基本地震加速度、设计地震分组等参数是确定地震影响系数曲线的基础，必须根据项目所在地的区划图文件及《建筑抗震设计标准》GB 50011的最新版本确定，以确保与国家抗震设防总体要求一致。设计时严禁直接采用历史项目数据或经验值，必须进行核实。</w:t>
      </w:r>
    </w:p>
    <w:p w14:paraId="0FF57CE1">
      <w:pPr>
        <w:spacing w:before="156"/>
        <w:ind w:firstLine="480"/>
        <w:rPr>
          <w:rFonts w:cs="Times New Roman"/>
          <w:szCs w:val="24"/>
        </w:rPr>
      </w:pPr>
      <w:r>
        <w:rPr>
          <w:rFonts w:hint="eastAsia" w:cs="Times New Roman"/>
          <w:szCs w:val="24"/>
        </w:rPr>
        <w:t>6</w:t>
      </w:r>
      <w:r>
        <w:rPr>
          <w:rFonts w:cs="Times New Roman"/>
          <w:szCs w:val="24"/>
        </w:rPr>
        <w:t xml:space="preserve">.4.2 </w:t>
      </w:r>
      <w:r>
        <w:rPr>
          <w:rFonts w:hint="eastAsia" w:cs="Times New Roman"/>
          <w:szCs w:val="24"/>
        </w:rPr>
        <w:t>锻锤基础不仅承受巨大的冲击振动荷载，在地震区还需抵抗地震作用。本条强调抗震验算需遵循《建筑抗震设计标准》GB 50011和《混凝土结构设计标准》GB 50010的原则。地震作用通常采用振型分解反应谱法计算，该方法能较好地考虑结构动力特性与地震动特性的关系。对于特别不规则或重要的甲类锻锤基础，必要时可采用时程分析法进行补充计算。验算需包括结构强度、变形及地基抗震承载力等内容。</w:t>
      </w:r>
    </w:p>
    <w:p w14:paraId="4FA47D8C">
      <w:pPr>
        <w:spacing w:before="156"/>
        <w:ind w:firstLine="480"/>
      </w:pPr>
      <w:r>
        <w:rPr>
          <w:rFonts w:hint="eastAsia" w:cs="Times New Roman"/>
          <w:szCs w:val="24"/>
        </w:rPr>
        <w:t>6</w:t>
      </w:r>
      <w:r>
        <w:rPr>
          <w:rFonts w:cs="Times New Roman"/>
          <w:szCs w:val="24"/>
        </w:rPr>
        <w:t xml:space="preserve">.4.3 </w:t>
      </w:r>
      <w:r>
        <w:t>地震作用下，地基土的动承载力会有所提高。本条给出了地基抗震承载力的简化计算方法，采用地震作用效应标准组合，并通过地基抗震承载力调整系数</w:t>
      </w:r>
      <m:oMath>
        <m:sSub>
          <m:sSubPr>
            <m:ctrlPr>
              <w:rPr>
                <w:rFonts w:ascii="Cambria Math" w:hAnsi="Cambria Math"/>
              </w:rPr>
            </m:ctrlPr>
          </m:sSubPr>
          <m:e>
            <m:r>
              <m:rPr/>
              <w:rPr>
                <w:rFonts w:ascii="Cambria Math" w:hAnsi="Cambria Math"/>
              </w:rPr>
              <m:t>ζ</m:t>
            </m:r>
            <m:ctrlPr>
              <w:rPr>
                <w:rFonts w:ascii="Cambria Math" w:hAnsi="Cambria Math"/>
              </w:rPr>
            </m:ctrlPr>
          </m:e>
          <m:sub>
            <m:r>
              <m:rPr/>
              <w:rPr>
                <w:rFonts w:ascii="Cambria Math" w:hAnsi="Cambria Math"/>
              </w:rPr>
              <m:t>a</m:t>
            </m:r>
            <m:ctrlPr>
              <w:rPr>
                <w:rFonts w:ascii="Cambria Math" w:hAnsi="Cambria Math"/>
              </w:rPr>
            </m:ctrlPr>
          </m:sub>
        </m:sSub>
      </m:oMath>
      <w:r>
        <w:t>对静力承载力特征值进行提高。系数</w:t>
      </w:r>
      <m:oMath>
        <m:sSub>
          <m:sSubPr>
            <m:ctrlPr>
              <w:rPr>
                <w:rFonts w:ascii="Cambria Math" w:hAnsi="Cambria Math"/>
              </w:rPr>
            </m:ctrlPr>
          </m:sSubPr>
          <m:e>
            <m:r>
              <m:rPr/>
              <w:rPr>
                <w:rFonts w:ascii="Cambria Math" w:hAnsi="Cambria Math"/>
              </w:rPr>
              <m:t>ζ</m:t>
            </m:r>
            <m:ctrlPr>
              <w:rPr>
                <w:rFonts w:ascii="Cambria Math" w:hAnsi="Cambria Math"/>
              </w:rPr>
            </m:ctrlPr>
          </m:e>
          <m:sub>
            <m:r>
              <m:rPr/>
              <w:rPr>
                <w:rFonts w:ascii="Cambria Math" w:hAnsi="Cambria Math"/>
              </w:rPr>
              <m:t>a</m:t>
            </m:r>
            <m:ctrlPr>
              <w:rPr>
                <w:rFonts w:ascii="Cambria Math" w:hAnsi="Cambria Math"/>
              </w:rPr>
            </m:ctrlPr>
          </m:sub>
        </m:sSub>
      </m:oMath>
      <w:r>
        <w:t>的取值直接引用GB 50011，其依据是大量震害调查和试验研究，反映了岩土体在地震动力作用下的实际性能。需要注意的是，此条适用于进行深度和宽度修正后的地基承载力特征值</w:t>
      </w:r>
      <m:oMath>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a</m:t>
            </m:r>
            <m:ctrlPr>
              <w:rPr>
                <w:rFonts w:ascii="Cambria Math" w:hAnsi="Cambria Math"/>
              </w:rPr>
            </m:ctrlPr>
          </m:sub>
        </m:sSub>
      </m:oMath>
      <w:r>
        <w:t>。</w:t>
      </w:r>
    </w:p>
    <w:p w14:paraId="64286711">
      <w:pPr>
        <w:spacing w:before="156"/>
        <w:ind w:firstLine="480"/>
      </w:pPr>
      <w:r>
        <w:rPr>
          <w:rFonts w:hint="eastAsia"/>
        </w:rPr>
        <w:t>6.4.4</w:t>
      </w:r>
      <w:r>
        <w:t xml:space="preserve"> </w:t>
      </w:r>
      <w:r>
        <w:rPr>
          <w:rFonts w:hint="eastAsia"/>
        </w:rPr>
        <w:t>饱和砂土、粉土等在地震作用下易发生液化，导致地基承载力骤降甚至失效，对锻锤基础这种对沉降和稳定性要求极高的结构危害极大。本条为强制性要求，强调在抗震设防烈度7度及以上地区必须进行液化判别。判别方法应按照GB 50011的有关规定执行。一旦判定存在液化土层，应根据地基的液化等级和锻锤基础的设计等级（见本标准第3.2.1条），采取相应的抗液化措施，如换填、加密（振冲、挤密桩等）、桩基穿越液化层或采用箱基、筏基加深基础等。</w:t>
      </w:r>
    </w:p>
    <w:p w14:paraId="1CFF9B65">
      <w:pPr>
        <w:spacing w:before="156"/>
        <w:ind w:firstLine="480"/>
      </w:pPr>
      <w:r>
        <w:rPr>
          <w:rFonts w:hint="eastAsia"/>
        </w:rPr>
        <w:t>6.4.5</w:t>
      </w:r>
      <w:r>
        <w:t xml:space="preserve"> </w:t>
      </w:r>
      <w:r>
        <w:rPr>
          <w:rFonts w:hint="eastAsia"/>
        </w:rPr>
        <w:t>当采用桩基础处理液化或震陷软土地基时，桩身不仅承受竖向荷载，还可能承受因土体侧移或下沉产生的负摩阻力、水平力及弯矩。本条对桩身的配筋提出了加强要求，旨在提高桩基在复杂地震作用下的抗弯和抗剪能力，避免脆性破坏。规定的配筋范围（液化层底面下不少于1.0m）确保了塑性铰区域得到充分加强，保证桩基具有足够的延性和耗能能力。</w:t>
      </w:r>
    </w:p>
    <w:p w14:paraId="41EC830A">
      <w:pPr>
        <w:spacing w:before="156" w:line="240" w:lineRule="auto"/>
        <w:ind w:firstLine="0" w:firstLineChars="0"/>
        <w:jc w:val="center"/>
        <w:outlineLvl w:val="2"/>
        <w:rPr>
          <w:bCs/>
          <w:sz w:val="28"/>
          <w:szCs w:val="32"/>
        </w:rPr>
      </w:pPr>
      <w:bookmarkStart w:id="70" w:name="_Toc206578582"/>
      <w:r>
        <w:rPr>
          <w:bCs/>
          <w:sz w:val="28"/>
          <w:szCs w:val="32"/>
        </w:rPr>
        <w:t xml:space="preserve">6.5 </w:t>
      </w:r>
      <w:r>
        <w:rPr>
          <w:rFonts w:hint="eastAsia"/>
          <w:bCs/>
          <w:sz w:val="28"/>
          <w:szCs w:val="32"/>
        </w:rPr>
        <w:t>荷载效应组合</w:t>
      </w:r>
      <w:bookmarkEnd w:id="70"/>
    </w:p>
    <w:p w14:paraId="6DF42AA8">
      <w:pPr>
        <w:spacing w:before="156"/>
        <w:ind w:firstLine="482"/>
      </w:pPr>
      <w:r>
        <w:rPr>
          <w:rFonts w:cs="Times New Roman"/>
          <w:b/>
          <w:szCs w:val="24"/>
        </w:rPr>
        <w:t>6.5.1</w:t>
      </w:r>
      <w:r>
        <w:rPr>
          <w:rFonts w:cs="Times New Roman"/>
          <w:szCs w:val="24"/>
        </w:rPr>
        <w:t>　</w:t>
      </w:r>
      <w:r>
        <w:rPr>
          <w:rFonts w:hint="eastAsia" w:cs="Times New Roman"/>
          <w:szCs w:val="24"/>
        </w:rPr>
        <w:t>本条规定了锻锤基础在承载能力极限状态和正常使用极限状态下静力荷载效应的组合原则。静力荷载包括基础自重、设备重量、土压力、水压力等永久荷载和可变荷载。设计时应根据《建筑结构荷载规范》</w:t>
      </w:r>
      <w:r>
        <w:rPr>
          <w:rFonts w:cs="Times New Roman"/>
          <w:szCs w:val="24"/>
        </w:rPr>
        <w:t>GB 50009</w:t>
      </w:r>
      <w:r>
        <w:rPr>
          <w:rFonts w:hint="eastAsia" w:cs="Times New Roman"/>
          <w:szCs w:val="24"/>
        </w:rPr>
        <w:t>和《工程结构通用规范》</w:t>
      </w:r>
      <w:r>
        <w:rPr>
          <w:rFonts w:cs="Times New Roman"/>
          <w:szCs w:val="24"/>
        </w:rPr>
        <w:t>GB 55001</w:t>
      </w:r>
      <w:r>
        <w:rPr>
          <w:rFonts w:hint="eastAsia" w:cs="Times New Roman"/>
          <w:szCs w:val="24"/>
        </w:rPr>
        <w:t>的规定，采用相应的分项系数和组合值系数。结构重要性系数</w:t>
      </w:r>
      <m:oMath>
        <m:sSub>
          <m:sSubPr>
            <m:ctrlPr>
              <w:rPr>
                <w:rFonts w:ascii="Cambria Math" w:hAnsi="Cambria Math" w:cs="Times New Roman"/>
                <w:szCs w:val="24"/>
              </w:rPr>
            </m:ctrlPr>
          </m:sSubPr>
          <m:e>
            <m:r>
              <m:rPr>
                <m:sty m:val="p"/>
              </m:rPr>
              <w:rPr>
                <w:rFonts w:ascii="Cambria Math" w:hAnsi="Cambria Math" w:cs="Times New Roman"/>
                <w:szCs w:val="24"/>
              </w:rPr>
              <m:t>γ</m:t>
            </m:r>
            <m:ctrlPr>
              <w:rPr>
                <w:rFonts w:ascii="Cambria Math" w:hAnsi="Cambria Math" w:cs="Times New Roman"/>
                <w:szCs w:val="24"/>
              </w:rPr>
            </m:ctrlPr>
          </m:e>
          <m:sub>
            <m:r>
              <m:rPr/>
              <w:rPr>
                <w:rFonts w:hint="eastAsia" w:ascii="Cambria Math" w:hAnsi="Cambria Math" w:cs="Times New Roman"/>
                <w:szCs w:val="24"/>
              </w:rPr>
              <m:t>0</m:t>
            </m:r>
            <m:ctrlPr>
              <w:rPr>
                <w:rFonts w:ascii="Cambria Math" w:hAnsi="Cambria Math" w:cs="Times New Roman"/>
                <w:szCs w:val="24"/>
              </w:rPr>
            </m:ctrlPr>
          </m:sub>
        </m:sSub>
      </m:oMath>
      <w:r>
        <w:rPr>
          <w:rFonts w:hint="eastAsia" w:cs="Times New Roman"/>
          <w:szCs w:val="24"/>
        </w:rPr>
        <w:t>的取值依据结构安全等级确定，对大型锻锤或安全等级为一级的基础应提高要求，以确保足够的安全储备。</w:t>
      </w:r>
    </w:p>
    <w:p w14:paraId="23EB3D2A">
      <w:pPr>
        <w:spacing w:before="156"/>
        <w:ind w:firstLine="480"/>
      </w:pPr>
      <w:r>
        <w:rPr>
          <w:rFonts w:hint="eastAsia"/>
        </w:rPr>
        <w:t>6.5.2</w:t>
      </w:r>
      <w:r>
        <w:t xml:space="preserve"> </w:t>
      </w:r>
      <w:r>
        <w:rPr>
          <w:rFonts w:hint="eastAsia"/>
        </w:rPr>
        <w:t>锻锤基础的振动荷载效应组合需按正常使用极限状态进行验算，重点控制振动响应不超过容许限值。振动荷载的组合值应依据《建筑振动荷载标准》GB/T 51228确定。本条款强调振动控制的重要性，确保锻锤运行时不影响设备自身精度及周边环境。</w:t>
      </w:r>
    </w:p>
    <w:p w14:paraId="435F188C">
      <w:pPr>
        <w:spacing w:before="156"/>
        <w:ind w:firstLine="480"/>
      </w:pPr>
      <w:r>
        <w:rPr>
          <w:rFonts w:hint="eastAsia"/>
        </w:rPr>
        <w:t>6.</w:t>
      </w:r>
      <w:r>
        <w:t>5</w:t>
      </w:r>
      <w:r>
        <w:rPr>
          <w:rFonts w:hint="eastAsia"/>
        </w:rPr>
        <w:t>.3</w:t>
      </w:r>
      <w:r>
        <w:t xml:space="preserve"> </w:t>
      </w:r>
      <w:r>
        <w:rPr>
          <w:rFonts w:hint="eastAsia"/>
        </w:rPr>
        <w:t>锻锤基础产生的振动可能对周边环境（如建筑物、精密仪器、人员舒适度）造成影响。本条要求对环境振动效应进行验算，其标准值应不大于现行国家标准《建筑工程容许振动标准》GB 50868规定的限值。设计时需结合振动传播评估（见附录A）进行综合分析。</w:t>
      </w:r>
    </w:p>
    <w:p w14:paraId="46777985">
      <w:pPr>
        <w:spacing w:before="156"/>
        <w:ind w:firstLine="480"/>
      </w:pPr>
      <w:r>
        <w:rPr>
          <w:rFonts w:hint="eastAsia"/>
        </w:rPr>
        <w:t>6.</w:t>
      </w:r>
      <w:r>
        <w:t>5</w:t>
      </w:r>
      <w:r>
        <w:rPr>
          <w:rFonts w:hint="eastAsia"/>
        </w:rPr>
        <w:t>.4</w:t>
      </w:r>
      <w:r>
        <w:t xml:space="preserve"> </w:t>
      </w:r>
      <w:r>
        <w:rPr>
          <w:rFonts w:hint="eastAsia"/>
        </w:rPr>
        <w:t>振动荷载效应组合可采用时域或频域分析方法。时域分析直接叠加各荷载时间历程，适用于冲击荷载；频域分析则采用统计平均方法，适用于稳态或随机振动。设计人员应根据荷载特性和分析目的选择合适的分析方法。</w:t>
      </w:r>
    </w:p>
    <w:p w14:paraId="4A003A0B">
      <w:pPr>
        <w:spacing w:before="156"/>
        <w:ind w:firstLine="480"/>
      </w:pPr>
      <w:r>
        <w:rPr>
          <w:rFonts w:hint="eastAsia"/>
        </w:rPr>
        <w:t>6.</w:t>
      </w:r>
      <w:r>
        <w:t>5</w:t>
      </w:r>
      <w:r>
        <w:rPr>
          <w:rFonts w:hint="eastAsia"/>
        </w:rPr>
        <w:t>.5</w:t>
      </w:r>
      <w:r>
        <w:t xml:space="preserve"> </w:t>
      </w:r>
      <w:r>
        <w:rPr>
          <w:rFonts w:hint="eastAsia"/>
        </w:rPr>
        <w:t>本条提供了多种振动荷载组合的具体计算方法：</w:t>
      </w:r>
    </w:p>
    <w:p w14:paraId="226CE35B">
      <w:pPr>
        <w:spacing w:before="156"/>
        <w:ind w:firstLine="480"/>
      </w:pPr>
      <w:r>
        <w:rPr>
          <w:rFonts w:hint="eastAsia"/>
        </w:rPr>
        <w:t>1</w:t>
      </w:r>
      <w:r>
        <w:t xml:space="preserve"> </w:t>
      </w:r>
      <w:r>
        <w:rPr>
          <w:rFonts w:hint="eastAsia"/>
        </w:rPr>
        <w:t>多周期或稳态随机振动：采用均方根（RMS）组合方法，基于能量叠加原理，适用于振动频率成分复杂且无显著主频的场合。</w:t>
      </w:r>
    </w:p>
    <w:p w14:paraId="2557E943">
      <w:pPr>
        <w:spacing w:before="156"/>
        <w:ind w:firstLine="480"/>
      </w:pPr>
      <w:r>
        <w:rPr>
          <w:rFonts w:hint="eastAsia"/>
        </w:rPr>
        <w:t>2</w:t>
      </w:r>
      <w:r>
        <w:t xml:space="preserve"> </w:t>
      </w:r>
      <w:r>
        <w:rPr>
          <w:rFonts w:hint="eastAsia"/>
        </w:rPr>
        <w:t>两个周期性振动：采用峰值直接叠加法，偏于安全地考虑最不利瞬时响应。</w:t>
      </w:r>
    </w:p>
    <w:p w14:paraId="649B85AC">
      <w:pPr>
        <w:spacing w:before="156"/>
        <w:ind w:firstLine="480"/>
      </w:pPr>
      <w:r>
        <w:rPr>
          <w:rFonts w:hint="eastAsia"/>
        </w:rPr>
        <w:t>3</w:t>
      </w:r>
      <w:r>
        <w:t xml:space="preserve"> </w:t>
      </w:r>
      <w:r>
        <w:rPr>
          <w:rFonts w:hint="eastAsia"/>
        </w:rPr>
        <w:t>冲击荷载控制：采用时域峰值与均方根组合值加权叠加的方法，引入冲击组合系数</w:t>
      </w:r>
      <m:oMath>
        <m:sSub>
          <m:sSubPr>
            <m:ctrlPr>
              <w:rPr>
                <w:rFonts w:ascii="Cambria Math" w:hAnsi="Cambria Math"/>
              </w:rPr>
            </m:ctrlPr>
          </m:sSubPr>
          <m:e>
            <m:r>
              <m:rPr>
                <m:sty m:val="p"/>
              </m:rPr>
              <w:rPr>
                <w:rFonts w:ascii="Cambria Math" w:hAnsi="Cambria Math"/>
              </w:rPr>
              <m:t>α</m:t>
            </m:r>
            <m:ctrlPr>
              <w:rPr>
                <w:rFonts w:ascii="Cambria Math" w:hAnsi="Cambria Math"/>
              </w:rPr>
            </m:ctrlPr>
          </m:e>
          <m:sub>
            <m:r>
              <m:rPr/>
              <w:rPr>
                <w:rFonts w:hint="eastAsia" w:ascii="Cambria Math" w:hAnsi="Cambria Math"/>
              </w:rPr>
              <m:t>k</m:t>
            </m:r>
            <m:ctrlPr>
              <w:rPr>
                <w:rFonts w:ascii="Cambria Math" w:hAnsi="Cambria Math"/>
              </w:rPr>
            </m:ctrlPr>
          </m:sub>
        </m:sSub>
      </m:oMath>
      <w:r>
        <w:rPr>
          <w:rFonts w:hint="eastAsia"/>
        </w:rPr>
        <w:t>以反映多个冲击荷载同时作用的概率折减。</w:t>
      </w:r>
      <m:oMath>
        <m:sSub>
          <m:sSubPr>
            <m:ctrlPr>
              <w:rPr>
                <w:rFonts w:ascii="Cambria Math" w:hAnsi="Cambria Math"/>
              </w:rPr>
            </m:ctrlPr>
          </m:sSubPr>
          <m:e>
            <m:r>
              <m:rPr>
                <m:sty m:val="p"/>
              </m:rPr>
              <w:rPr>
                <w:rFonts w:ascii="Cambria Math" w:hAnsi="Cambria Math"/>
              </w:rPr>
              <m:t>α</m:t>
            </m:r>
            <m:ctrlPr>
              <w:rPr>
                <w:rFonts w:ascii="Cambria Math" w:hAnsi="Cambria Math"/>
              </w:rPr>
            </m:ctrlPr>
          </m:e>
          <m:sub>
            <m:r>
              <m:rPr/>
              <w:rPr>
                <w:rFonts w:hint="eastAsia" w:ascii="Cambria Math" w:hAnsi="Cambria Math"/>
              </w:rPr>
              <m:t>k</m:t>
            </m:r>
            <m:ctrlPr>
              <w:rPr>
                <w:rFonts w:ascii="Cambria Math" w:hAnsi="Cambria Math"/>
              </w:rPr>
            </m:ctrlPr>
          </m:sub>
        </m:sSub>
      </m:oMath>
      <w:r>
        <w:rPr>
          <w:rFonts w:hint="eastAsia"/>
        </w:rPr>
        <w:t>取值基于荷载数量和经验总结，荷载越多，组合系数越小，越符合实际统计规律。</w:t>
      </w:r>
    </w:p>
    <w:p w14:paraId="29B31EC1">
      <w:pPr>
        <w:spacing w:before="156"/>
        <w:ind w:firstLine="480"/>
      </w:pPr>
      <w:r>
        <w:rPr>
          <w:rFonts w:hint="eastAsia"/>
        </w:rPr>
        <w:t>本节内容系统规定了锻锤基础在不同类型荷载（静力、振动、环境振动）作用下的效应组合原则和方法，涵盖了承载力、正常使用和环境影响三个方面的验算要求。设计人员应结合工程实际情况，合理选择荷载组合模型和分析方法，确保基础设计安全、经济、合规。</w:t>
      </w:r>
    </w:p>
    <w:p w14:paraId="6483408C">
      <w:pPr>
        <w:pStyle w:val="3"/>
      </w:pPr>
      <w:bookmarkStart w:id="71" w:name="_Toc206578583"/>
      <w:r>
        <w:t xml:space="preserve">7 </w:t>
      </w:r>
      <w:r>
        <w:rPr>
          <w:rFonts w:hint="eastAsia"/>
        </w:rPr>
        <w:t>静力设计</w:t>
      </w:r>
      <w:bookmarkEnd w:id="71"/>
    </w:p>
    <w:p w14:paraId="1A5039B7">
      <w:pPr>
        <w:pStyle w:val="4"/>
        <w:spacing w:before="156"/>
      </w:pPr>
      <w:bookmarkStart w:id="72" w:name="_Toc206578584"/>
      <w:r>
        <w:t xml:space="preserve">7.1 </w:t>
      </w:r>
      <w:r>
        <w:rPr>
          <w:rFonts w:hint="eastAsia"/>
        </w:rPr>
        <w:t>一般规定</w:t>
      </w:r>
      <w:bookmarkEnd w:id="72"/>
    </w:p>
    <w:p w14:paraId="2AEA58F1">
      <w:pPr>
        <w:spacing w:before="156"/>
        <w:ind w:firstLine="482"/>
        <w:rPr>
          <w:rFonts w:cs="Times New Roman"/>
          <w:szCs w:val="24"/>
        </w:rPr>
      </w:pPr>
      <w:r>
        <w:rPr>
          <w:rFonts w:cs="Times New Roman"/>
          <w:b/>
          <w:szCs w:val="24"/>
        </w:rPr>
        <w:t>7.1.1</w:t>
      </w:r>
      <w:r>
        <w:rPr>
          <w:rFonts w:cs="Times New Roman"/>
          <w:szCs w:val="24"/>
        </w:rPr>
        <w:t>　</w:t>
      </w:r>
      <w:r>
        <w:rPr>
          <w:rFonts w:hint="eastAsia" w:cs="Times New Roman"/>
          <w:szCs w:val="24"/>
        </w:rPr>
        <w:t>锻锤基础承受巨大的冲击荷载，因此宜采用整体性、刚性好的钢筋混凝土结构。地坑式基础能将振动更好地限制在坑内，减少对周边环境的影响，并便于安装隔振系统，适用于对振动控制要求高或地质条件较差的情况。大块式基础结构简单、施工方便、经济性好，适用于振动控制要求不高、地质条件良好的中小型锻锤。基础形式的选择应综合考虑锻锤吨位、工艺要求、地质条件和环境限制等因素。</w:t>
      </w:r>
    </w:p>
    <w:p w14:paraId="3FFAB795">
      <w:pPr>
        <w:spacing w:before="156"/>
        <w:ind w:firstLine="480"/>
      </w:pPr>
      <w:r>
        <w:rPr>
          <w:rFonts w:hint="eastAsia" w:cs="Times New Roman"/>
          <w:szCs w:val="24"/>
        </w:rPr>
        <w:t>7</w:t>
      </w:r>
      <w:r>
        <w:rPr>
          <w:rFonts w:cs="Times New Roman"/>
          <w:szCs w:val="24"/>
        </w:rPr>
        <w:t xml:space="preserve">.1.2 </w:t>
      </w:r>
      <w:r>
        <w:rPr>
          <w:rFonts w:hint="eastAsia" w:cs="Times New Roman"/>
          <w:szCs w:val="24"/>
        </w:rPr>
        <w:t>四类土（如软弱黏性土、松散粉土砂土）承载力低、压缩性高、动力性能差，直接在其上建造锻锤基础易产生过大沉降和振动，影响设备精度和安全。因此，本标准规定不宜直接将锻锤基础设置在四类土层上。若因条件限制无法避开，必须采用人工地基进行加固处理，如换填垫层、强夯、桩基础等方法，以提高地基承载力、减小变形、改善动力特性，确保基础稳定可靠。</w:t>
      </w:r>
    </w:p>
    <w:p w14:paraId="125181E8">
      <w:pPr>
        <w:spacing w:before="156"/>
        <w:ind w:firstLine="480"/>
      </w:pPr>
      <w:r>
        <w:rPr>
          <w:rFonts w:hint="eastAsia"/>
        </w:rPr>
        <w:t>7</w:t>
      </w:r>
      <w:r>
        <w:t xml:space="preserve">.1.3 </w:t>
      </w:r>
      <w:r>
        <w:rPr>
          <w:rFonts w:hint="eastAsia"/>
        </w:rPr>
        <w:t>在斜坡、边坡、采空区、岩溶等特殊地质区域建造锻锤基础时，除满足承载力与变形要求外，还必须进行整体稳定性验算，防止基础及其周边土体发生滑移、塌陷等灾害。本条款强调此类情况下地基稳定性计算的必要性，设计时应根据《建筑地基基础设计规范》GB 50007等相关标准进行专项分析和处理。</w:t>
      </w:r>
    </w:p>
    <w:p w14:paraId="462E9F42">
      <w:pPr>
        <w:spacing w:before="156"/>
        <w:ind w:firstLine="480"/>
      </w:pPr>
      <w:r>
        <w:rPr>
          <w:rFonts w:hint="eastAsia"/>
        </w:rPr>
        <w:t>7</w:t>
      </w:r>
      <w:r>
        <w:t>.1.4 本条款规定了锻锤基础设计中的经验性控制指标。</w:t>
      </w:r>
    </w:p>
    <w:p w14:paraId="05A084DE">
      <w:pPr>
        <w:spacing w:before="156"/>
        <w:ind w:firstLine="480"/>
        <w:rPr>
          <w:kern w:val="0"/>
          <w:szCs w:val="24"/>
        </w:rPr>
      </w:pPr>
      <w:r>
        <w:rPr>
          <w:rFonts w:hint="eastAsia"/>
        </w:rPr>
        <w:t>1</w:t>
      </w:r>
      <w:r>
        <w:t xml:space="preserve"> 质量比（</w:t>
      </w:r>
      <m:oMath>
        <m:r>
          <m:rPr/>
          <w:rPr>
            <w:rFonts w:ascii="Cambria Math" w:hAnsi="Cambria Math"/>
          </w:rPr>
          <m:t>m/</m:t>
        </m:r>
        <m:sSub>
          <m:sSubPr>
            <m:ctrlPr>
              <w:rPr>
                <w:rFonts w:ascii="Cambria Math" w:hAnsi="Cambria Math"/>
                <w:bCs/>
                <w:i/>
              </w:rPr>
            </m:ctrlPr>
          </m:sSubPr>
          <m:e>
            <m:r>
              <m:rPr/>
              <w:rPr>
                <w:rFonts w:ascii="Cambria Math" w:hAnsi="Cambria Math"/>
              </w:rPr>
              <m:t>m</m:t>
            </m:r>
            <m:ctrlPr>
              <w:rPr>
                <w:rFonts w:ascii="Cambria Math" w:hAnsi="Cambria Math"/>
                <w:bCs/>
                <w:i/>
              </w:rPr>
            </m:ctrlPr>
          </m:e>
          <m:sub>
            <m:r>
              <m:rPr/>
              <w:rPr>
                <w:rFonts w:ascii="Cambria Math" w:hAnsi="Cambria Math"/>
              </w:rPr>
              <m:t>0</m:t>
            </m:r>
            <m:ctrlPr>
              <w:rPr>
                <w:rFonts w:ascii="Cambria Math" w:hAnsi="Cambria Math"/>
                <w:bCs/>
                <w:i/>
              </w:rPr>
            </m:ctrlPr>
          </m:sub>
        </m:sSub>
      </m:oMath>
      <w:r>
        <w:t>）：基础质量与锤头质量的比值是控制基础振动响应的关</w:t>
      </w:r>
      <w:r>
        <w:rPr>
          <w:kern w:val="0"/>
          <w:szCs w:val="24"/>
        </w:rPr>
        <w:t>键参数。比值越大，基础振动位移越小。自由锻锤工艺允许的振动稍大，故比值取30~40；模锻锤要求更高的精度和稳定性，故比值取40~50。软弱地基上应取较大值以补偿地基刚度的不足。</w:t>
      </w:r>
    </w:p>
    <w:p w14:paraId="7A15DC9C">
      <w:pPr>
        <w:spacing w:before="156"/>
        <w:ind w:firstLine="480"/>
        <w:rPr>
          <w:kern w:val="0"/>
          <w:szCs w:val="24"/>
        </w:rPr>
      </w:pPr>
      <w:r>
        <w:rPr>
          <w:rFonts w:hint="eastAsia"/>
        </w:rPr>
        <w:t>2</w:t>
      </w:r>
      <w:r>
        <w:t xml:space="preserve"> 尺寸原则：在总质量不变的条件下，增大底面积可降低基底静压力和提高</w:t>
      </w:r>
      <w:r>
        <w:rPr>
          <w:kern w:val="0"/>
          <w:szCs w:val="24"/>
        </w:rPr>
        <w:t>地基刚度，有利于减少沉降和振动；减小埋深则可降低施工难度和成本，并避免深部不良土层的影响。设计时应寻求经济合理的平衡。</w:t>
      </w:r>
    </w:p>
    <w:p w14:paraId="4A2C1186">
      <w:pPr>
        <w:spacing w:before="156"/>
        <w:ind w:firstLine="480"/>
      </w:pPr>
      <w:r>
        <w:rPr>
          <w:rFonts w:hint="eastAsia"/>
        </w:rPr>
        <w:t>7</w:t>
      </w:r>
      <w:r>
        <w:t xml:space="preserve">.1.5 </w:t>
      </w:r>
      <w:r>
        <w:rPr>
          <w:rFonts w:hint="eastAsia"/>
        </w:rPr>
        <w:t>锻锤基础基坑通常较深，开挖时必须根据岩土工程勘察报告采取适当的支护和降水措施，确保基坑边坡稳定和施工安全。同时，应评估开挖对邻近建筑物、地下管线的影响，采取必要的监测和保护措施，防止对周围环境造成不利影响。</w:t>
      </w:r>
    </w:p>
    <w:p w14:paraId="74886BFD">
      <w:pPr>
        <w:spacing w:before="156"/>
        <w:ind w:firstLine="480"/>
      </w:pPr>
      <w:r>
        <w:rPr>
          <w:rFonts w:hint="eastAsia"/>
        </w:rPr>
        <w:t>7</w:t>
      </w:r>
      <w:r>
        <w:t xml:space="preserve">.1.6 </w:t>
      </w:r>
      <w:r>
        <w:rPr>
          <w:rFonts w:hint="eastAsia"/>
        </w:rPr>
        <w:t>当锻锤基础与毗邻的厂房柱基等基础埋深不同时，若高差处理不当，可能因土体应力重叠或施工扰动导致不均匀沉降。对此，应将基底标高差异部分的土体回填并分层夯实，必要时可采用灰土、级配砂石等材料，以保证接触带土体的密实度和稳定性，协调两侧基础的变形。</w:t>
      </w:r>
    </w:p>
    <w:p w14:paraId="6B7E5DD8">
      <w:pPr>
        <w:spacing w:before="156"/>
        <w:ind w:firstLine="480"/>
      </w:pPr>
      <w:r>
        <w:rPr>
          <w:rFonts w:hint="eastAsia"/>
        </w:rPr>
        <w:t>7</w:t>
      </w:r>
      <w:r>
        <w:t xml:space="preserve">.1.7 </w:t>
      </w:r>
      <w:r>
        <w:rPr>
          <w:rFonts w:hint="eastAsia"/>
        </w:rPr>
        <w:t>锻锤基础首先是建筑物的地基基础，其静力设计（如地基承载力计算、变形控制、抗浮、抗滑移等）必须遵守《建筑地基基础设计规范》GB 50007的通用规定。本条款强调了锻锤基础设计除满足本标准特有的动力要求外，尚应全面符合国家现行基础设计通用标准的基本原则。</w:t>
      </w:r>
    </w:p>
    <w:p w14:paraId="4A02DA91">
      <w:pPr>
        <w:pStyle w:val="4"/>
        <w:spacing w:before="156"/>
      </w:pPr>
      <w:bookmarkStart w:id="73" w:name="_Toc206578585"/>
      <w:r>
        <w:t xml:space="preserve">7.2 </w:t>
      </w:r>
      <w:r>
        <w:rPr>
          <w:rFonts w:hint="eastAsia"/>
        </w:rPr>
        <w:t>地基承载力验算</w:t>
      </w:r>
      <w:bookmarkEnd w:id="73"/>
    </w:p>
    <w:p w14:paraId="01E28FDB">
      <w:pPr>
        <w:spacing w:before="156"/>
        <w:ind w:firstLine="480"/>
      </w:pPr>
      <w:r>
        <w:t>7.2.1 本条规定了锻锤基础底面地基平均静压力设计值的验算要求。公式（7.2.1）中的动力折减系数</w:t>
      </w:r>
      <m:oMath>
        <m:sSub>
          <m:sSubPr>
            <m:ctrlPr>
              <w:rPr>
                <w:rFonts w:ascii="Cambria Math" w:hAnsi="Cambria Math"/>
              </w:rPr>
            </m:ctrlPr>
          </m:sSubPr>
          <m:e>
            <m:r>
              <m:rPr>
                <m:sty m:val="p"/>
              </m:rPr>
              <w:rPr>
                <w:rFonts w:ascii="Cambria Math" w:hAnsi="Cambria Math"/>
              </w:rPr>
              <m:t>α</m:t>
            </m:r>
            <m:ctrlPr>
              <w:rPr>
                <w:rFonts w:ascii="Cambria Math" w:hAnsi="Cambria Math"/>
              </w:rPr>
            </m:ctrlPr>
          </m:e>
          <m:sub>
            <m:r>
              <m:rPr/>
              <w:rPr>
                <w:rFonts w:ascii="Cambria Math" w:hAnsi="Cambria Math"/>
              </w:rPr>
              <m:t>v</m:t>
            </m:r>
            <m:ctrlPr>
              <w:rPr>
                <w:rFonts w:ascii="Cambria Math" w:hAnsi="Cambria Math"/>
              </w:rPr>
            </m:ctrlPr>
          </m:sub>
        </m:sSub>
      </m:oMath>
      <w:r>
        <w:t>用于考虑锻锤冲击荷载对地基承载力的不利影响。该系数根据地基土类别和基础振动加速度确定，体现了动力荷载下地基土强度的折减特性。</w:t>
      </w:r>
    </w:p>
    <w:p w14:paraId="3F5B236E">
      <w:pPr>
        <w:spacing w:before="156"/>
        <w:ind w:firstLine="480"/>
      </w:pPr>
      <w:r>
        <w:rPr>
          <w:rFonts w:hint="eastAsia"/>
        </w:rPr>
        <w:t>7</w:t>
      </w:r>
      <w:r>
        <w:t xml:space="preserve">.2.2 </w:t>
      </w:r>
      <w:r>
        <w:rPr>
          <w:rFonts w:hint="eastAsia"/>
        </w:rPr>
        <w:t>基础底面静压力的计算应包括基础自重、回填土重、机器自重及传至基础上的其他荷载。这些荷载共同构成基础的静力作用，是验算地基承载力的基本依据。设计时应准确计算各荷载值，确保静压力取值的合理性。</w:t>
      </w:r>
    </w:p>
    <w:p w14:paraId="555D61C7">
      <w:pPr>
        <w:spacing w:before="156"/>
        <w:ind w:firstLine="480"/>
      </w:pPr>
      <w:r>
        <w:rPr>
          <w:rFonts w:hint="eastAsia"/>
        </w:rPr>
        <w:t>7</w:t>
      </w:r>
      <w:r>
        <w:t>.2.3 本条给出了锻锤非隔振基础和隔振基础的地基承载力动力折减系数</w:t>
      </w:r>
      <m:oMath>
        <m:sSub>
          <m:sSubPr>
            <m:ctrlPr>
              <w:rPr>
                <w:rFonts w:ascii="Cambria Math" w:hAnsi="Cambria Math"/>
              </w:rPr>
            </m:ctrlPr>
          </m:sSubPr>
          <m:e>
            <m:r>
              <m:rPr>
                <m:sty m:val="p"/>
              </m:rPr>
              <w:rPr>
                <w:rFonts w:ascii="Cambria Math" w:hAnsi="Cambria Math"/>
              </w:rPr>
              <m:t>α</m:t>
            </m:r>
            <m:ctrlPr>
              <w:rPr>
                <w:rFonts w:ascii="Cambria Math" w:hAnsi="Cambria Math"/>
              </w:rPr>
            </m:ctrlPr>
          </m:e>
          <m:sub>
            <m:r>
              <m:rPr/>
              <w:rPr>
                <w:rFonts w:ascii="Cambria Math" w:hAnsi="Cambria Math"/>
              </w:rPr>
              <m:t>v</m:t>
            </m:r>
            <m:ctrlPr>
              <w:rPr>
                <w:rFonts w:ascii="Cambria Math" w:hAnsi="Cambria Math"/>
              </w:rPr>
            </m:ctrlPr>
          </m:sub>
        </m:sSub>
      </m:oMath>
      <w:r>
        <w:t>的计算方法。</w:t>
      </w:r>
    </w:p>
    <w:p w14:paraId="7A7CE29C">
      <w:pPr>
        <w:spacing w:before="156"/>
        <w:ind w:firstLine="480"/>
        <w:rPr>
          <w:kern w:val="0"/>
          <w:szCs w:val="24"/>
        </w:rPr>
      </w:pPr>
      <w:r>
        <w:rPr>
          <w:kern w:val="0"/>
          <w:szCs w:val="24"/>
        </w:rPr>
        <w:t>对于非隔振基础，</w:t>
      </w:r>
      <m:oMath>
        <m:sSub>
          <m:sSubPr>
            <m:ctrlPr>
              <w:rPr>
                <w:rFonts w:ascii="Cambria Math" w:hAnsi="Cambria Math"/>
              </w:rPr>
            </m:ctrlPr>
          </m:sSubPr>
          <m:e>
            <m:r>
              <m:rPr>
                <m:sty m:val="p"/>
              </m:rPr>
              <w:rPr>
                <w:rFonts w:ascii="Cambria Math" w:hAnsi="Cambria Math"/>
              </w:rPr>
              <m:t>α</m:t>
            </m:r>
            <m:ctrlPr>
              <w:rPr>
                <w:rFonts w:ascii="Cambria Math" w:hAnsi="Cambria Math"/>
              </w:rPr>
            </m:ctrlPr>
          </m:e>
          <m:sub>
            <m:r>
              <m:rPr/>
              <w:rPr>
                <w:rFonts w:ascii="Cambria Math" w:hAnsi="Cambria Math"/>
              </w:rPr>
              <m:t>v</m:t>
            </m:r>
            <m:ctrlPr>
              <w:rPr>
                <w:rFonts w:ascii="Cambria Math" w:hAnsi="Cambria Math"/>
              </w:rPr>
            </m:ctrlPr>
          </m:sub>
        </m:sSub>
      </m:oMath>
      <w:r>
        <w:rPr>
          <w:kern w:val="0"/>
          <w:szCs w:val="24"/>
        </w:rPr>
        <w:t>按公式（7.2.3）计算，其中地基土的动沉陷影响系数</w:t>
      </w:r>
      <m:oMath>
        <m:sSub>
          <m:sSubPr>
            <m:ctrlPr>
              <w:rPr>
                <w:rFonts w:ascii="Cambria Math" w:hAnsi="Cambria Math"/>
              </w:rPr>
            </m:ctrlPr>
          </m:sSubPr>
          <m:e>
            <m:r>
              <m:rPr/>
              <w:rPr>
                <w:rFonts w:ascii="Cambria Math" w:hAnsi="Cambria Math"/>
              </w:rPr>
              <m:t>β</m:t>
            </m:r>
            <m:ctrlPr>
              <w:rPr>
                <w:rFonts w:ascii="Cambria Math" w:hAnsi="Cambria Math"/>
              </w:rPr>
            </m:ctrlPr>
          </m:e>
          <m:sub>
            <m:r>
              <m:rPr/>
              <w:rPr>
                <w:rFonts w:ascii="Cambria Math" w:hAnsi="Cambria Math"/>
              </w:rPr>
              <m:t>v</m:t>
            </m:r>
            <m:ctrlPr>
              <w:rPr>
                <w:rFonts w:ascii="Cambria Math" w:hAnsi="Cambria Math"/>
              </w:rPr>
            </m:ctrlPr>
          </m:sub>
        </m:sSub>
      </m:oMath>
      <w:r>
        <w:rPr>
          <w:kern w:val="0"/>
          <w:szCs w:val="24"/>
        </w:rPr>
        <w:t>按第7.2.4条确定，反映了不同土类在动力荷载下的响应差异。</w:t>
      </w:r>
    </w:p>
    <w:p w14:paraId="240E7A47">
      <w:pPr>
        <w:spacing w:before="156"/>
        <w:ind w:firstLine="480"/>
        <w:rPr>
          <w:kern w:val="0"/>
          <w:szCs w:val="24"/>
        </w:rPr>
      </w:pPr>
      <w:r>
        <w:rPr>
          <w:kern w:val="0"/>
          <w:szCs w:val="24"/>
        </w:rPr>
        <w:t>对于隔振基础，由于隔振系统有效减少了传递至地基的振动能量，故</w:t>
      </w:r>
      <m:oMath>
        <m:sSub>
          <m:sSubPr>
            <m:ctrlPr>
              <w:rPr>
                <w:rFonts w:ascii="Cambria Math" w:hAnsi="Cambria Math"/>
              </w:rPr>
            </m:ctrlPr>
          </m:sSubPr>
          <m:e>
            <m:r>
              <m:rPr>
                <m:sty m:val="p"/>
              </m:rPr>
              <w:rPr>
                <w:rFonts w:ascii="Cambria Math" w:hAnsi="Cambria Math"/>
              </w:rPr>
              <m:t>α</m:t>
            </m:r>
            <m:ctrlPr>
              <w:rPr>
                <w:rFonts w:ascii="Cambria Math" w:hAnsi="Cambria Math"/>
              </w:rPr>
            </m:ctrlPr>
          </m:e>
          <m:sub>
            <m:r>
              <m:rPr/>
              <w:rPr>
                <w:rFonts w:ascii="Cambria Math" w:hAnsi="Cambria Math"/>
              </w:rPr>
              <m:t>v</m:t>
            </m:r>
            <m:ctrlPr>
              <w:rPr>
                <w:rFonts w:ascii="Cambria Math" w:hAnsi="Cambria Math"/>
              </w:rPr>
            </m:ctrlPr>
          </m:sub>
        </m:sSub>
      </m:oMath>
      <w:r>
        <w:rPr>
          <w:kern w:val="0"/>
          <w:szCs w:val="24"/>
        </w:rPr>
        <w:t>可取0.9，简化了设计流程。</w:t>
      </w:r>
    </w:p>
    <w:p w14:paraId="1B004FED">
      <w:pPr>
        <w:spacing w:before="156"/>
        <w:ind w:firstLine="480"/>
      </w:pPr>
      <w:r>
        <w:rPr>
          <w:rFonts w:hint="eastAsia"/>
          <w:kern w:val="0"/>
          <w:szCs w:val="24"/>
        </w:rPr>
        <w:t>7</w:t>
      </w:r>
      <w:r>
        <w:rPr>
          <w:kern w:val="0"/>
          <w:szCs w:val="24"/>
        </w:rPr>
        <w:t xml:space="preserve">.2.4 </w:t>
      </w:r>
      <w:r>
        <w:rPr>
          <w:shd w:val="clear" w:color="auto" w:fill="FFFFFF"/>
        </w:rPr>
        <w:t>表7.2.4中的</w:t>
      </w:r>
      <m:oMath>
        <m:sSub>
          <m:sSubPr>
            <m:ctrlPr>
              <w:rPr>
                <w:rFonts w:ascii="Cambria Math" w:hAnsi="Cambria Math"/>
              </w:rPr>
            </m:ctrlPr>
          </m:sSubPr>
          <m:e>
            <m:r>
              <m:rPr/>
              <w:rPr>
                <w:rFonts w:ascii="Cambria Math" w:hAnsi="Cambria Math"/>
              </w:rPr>
              <m:t>β</m:t>
            </m:r>
            <m:ctrlPr>
              <w:rPr>
                <w:rFonts w:ascii="Cambria Math" w:hAnsi="Cambria Math"/>
              </w:rPr>
            </m:ctrlPr>
          </m:e>
          <m:sub>
            <m:r>
              <m:rPr/>
              <w:rPr>
                <w:rFonts w:ascii="Cambria Math" w:hAnsi="Cambria Math"/>
              </w:rPr>
              <m:t>v</m:t>
            </m:r>
            <m:ctrlPr>
              <w:rPr>
                <w:rFonts w:ascii="Cambria Math" w:hAnsi="Cambria Math"/>
              </w:rPr>
            </m:ctrlPr>
          </m:sub>
        </m:sSub>
      </m:oMath>
      <w:r>
        <w:rPr>
          <w:shd w:val="clear" w:color="auto" w:fill="FFFFFF"/>
        </w:rPr>
        <w:t>值是根据不同地基土类别在动力荷载下的变形特性确定的。一类土至四类土的</w:t>
      </w:r>
      <m:oMath>
        <m:sSub>
          <m:sSubPr>
            <m:ctrlPr>
              <w:rPr>
                <w:rFonts w:ascii="Cambria Math" w:hAnsi="Cambria Math"/>
              </w:rPr>
            </m:ctrlPr>
          </m:sSubPr>
          <m:e>
            <m:r>
              <m:rPr/>
              <w:rPr>
                <w:rFonts w:ascii="Cambria Math" w:hAnsi="Cambria Math"/>
              </w:rPr>
              <m:t>β</m:t>
            </m:r>
            <m:ctrlPr>
              <w:rPr>
                <w:rFonts w:ascii="Cambria Math" w:hAnsi="Cambria Math"/>
              </w:rPr>
            </m:ctrlPr>
          </m:e>
          <m:sub>
            <m:r>
              <m:rPr/>
              <w:rPr>
                <w:rFonts w:ascii="Cambria Math" w:hAnsi="Cambria Math"/>
              </w:rPr>
              <m:t>v</m:t>
            </m:r>
            <m:ctrlPr>
              <w:rPr>
                <w:rFonts w:ascii="Cambria Math" w:hAnsi="Cambria Math"/>
              </w:rPr>
            </m:ctrlPr>
          </m:sub>
        </m:sSub>
      </m:oMath>
      <w:r>
        <w:rPr>
          <w:shd w:val="clear" w:color="auto" w:fill="FFFFFF"/>
        </w:rPr>
        <w:t>值依次增大，反映了土体刚度越低、动力敏感性越高的特性。</w:t>
      </w:r>
    </w:p>
    <w:p w14:paraId="646E66AC">
      <w:pPr>
        <w:spacing w:before="156"/>
        <w:ind w:firstLine="480"/>
        <w:rPr>
          <w:kern w:val="0"/>
          <w:szCs w:val="24"/>
        </w:rPr>
      </w:pPr>
      <w:r>
        <w:rPr>
          <w:shd w:val="clear" w:color="auto" w:fill="FFFFFF"/>
        </w:rPr>
        <w:t>对于桩基础，</w:t>
      </w:r>
      <m:oMath>
        <m:sSub>
          <m:sSubPr>
            <m:ctrlPr>
              <w:rPr>
                <w:rFonts w:ascii="Cambria Math" w:hAnsi="Cambria Math"/>
              </w:rPr>
            </m:ctrlPr>
          </m:sSubPr>
          <m:e>
            <m:r>
              <m:rPr/>
              <w:rPr>
                <w:rFonts w:ascii="Cambria Math" w:hAnsi="Cambria Math"/>
              </w:rPr>
              <m:t>β</m:t>
            </m:r>
            <m:ctrlPr>
              <w:rPr>
                <w:rFonts w:ascii="Cambria Math" w:hAnsi="Cambria Math"/>
              </w:rPr>
            </m:ctrlPr>
          </m:e>
          <m:sub>
            <m:r>
              <m:rPr/>
              <w:rPr>
                <w:rFonts w:ascii="Cambria Math" w:hAnsi="Cambria Math"/>
              </w:rPr>
              <m:t>v</m:t>
            </m:r>
            <m:ctrlPr>
              <w:rPr>
                <w:rFonts w:ascii="Cambria Math" w:hAnsi="Cambria Math"/>
              </w:rPr>
            </m:ctrlPr>
          </m:sub>
        </m:sSub>
      </m:oMath>
      <w:r>
        <w:rPr>
          <w:shd w:val="clear" w:color="auto" w:fill="FFFFFF"/>
        </w:rPr>
        <w:t>值应按桩端持力层土类别选用，以确保桩基动力设计的准确性。</w:t>
      </w:r>
    </w:p>
    <w:p w14:paraId="7E8E7CB6">
      <w:pPr>
        <w:spacing w:before="156" w:line="240" w:lineRule="auto"/>
        <w:ind w:firstLine="0" w:firstLineChars="0"/>
        <w:jc w:val="center"/>
        <w:outlineLvl w:val="2"/>
        <w:rPr>
          <w:bCs/>
          <w:sz w:val="28"/>
          <w:szCs w:val="32"/>
        </w:rPr>
      </w:pPr>
      <w:bookmarkStart w:id="74" w:name="_Toc206578586"/>
      <w:r>
        <w:rPr>
          <w:bCs/>
          <w:sz w:val="28"/>
          <w:szCs w:val="32"/>
        </w:rPr>
        <w:t xml:space="preserve">7.3 </w:t>
      </w:r>
      <w:r>
        <w:rPr>
          <w:rFonts w:hint="eastAsia"/>
          <w:bCs/>
          <w:sz w:val="28"/>
          <w:szCs w:val="32"/>
        </w:rPr>
        <w:t>基础承载力验算</w:t>
      </w:r>
      <w:bookmarkEnd w:id="74"/>
    </w:p>
    <w:p w14:paraId="60438EE5">
      <w:pPr>
        <w:spacing w:before="156"/>
        <w:ind w:firstLine="482"/>
      </w:pPr>
      <w:r>
        <w:rPr>
          <w:b/>
        </w:rPr>
        <w:t>7.3.1</w:t>
      </w:r>
      <w:r>
        <w:t>　</w:t>
      </w:r>
      <w:r>
        <w:rPr>
          <w:rFonts w:hint="eastAsia"/>
        </w:rPr>
        <w:t>本条规定了锻锤基础钢筋混凝土结构应按现行国家标准《混凝土结构设计规范》GB 50010进行承载力极限状态和正常使用极限状态的验算。锻锤基础在冲击荷载作用下，除应满足强度要求外，尚需控制振动位移、加速度及裂缝宽度，确保结构在长期动力荷载作用下的耐久性和适用性。</w:t>
      </w:r>
    </w:p>
    <w:p w14:paraId="19C1B4AF">
      <w:pPr>
        <w:spacing w:before="156"/>
        <w:ind w:firstLine="480"/>
      </w:pPr>
      <w:r>
        <w:rPr>
          <w:rFonts w:hint="eastAsia"/>
        </w:rPr>
        <w:t>7</w:t>
      </w:r>
      <w:r>
        <w:t xml:space="preserve">.3.2 </w:t>
      </w:r>
      <w:r>
        <w:rPr>
          <w:rFonts w:hint="eastAsia"/>
        </w:rPr>
        <w:t>基础底板在锻锤冲击荷载作用下承受较大弯矩和剪力，其内力计算应依据板壳理论或有限元方法进行。配筋应满足最小配筋率要求，并考虑动力荷载的疲劳效应。钢筋布置宜采用双层双向配筋，并在应力集中区域加强配筋。</w:t>
      </w:r>
    </w:p>
    <w:p w14:paraId="6A2BF44C">
      <w:pPr>
        <w:spacing w:before="156"/>
        <w:ind w:firstLine="480"/>
      </w:pPr>
      <w:r>
        <w:rPr>
          <w:rFonts w:hint="eastAsia"/>
        </w:rPr>
        <w:t>7</w:t>
      </w:r>
      <w:r>
        <w:t xml:space="preserve">.3.3 </w:t>
      </w:r>
      <w:r>
        <w:rPr>
          <w:rFonts w:hint="eastAsia"/>
        </w:rPr>
        <w:t>坑式基础侧壁承受土压力、水压力及可能的堆载作用，内力计算应分施工阶段和使用阶段分别进行。施工阶段按受弯构件计算，使用阶段按偏心受压构件计算，并取两者包络值进行配筋设计。地面堆载不小于10kPa是考虑常见车间环境下的最小荷载要求。</w:t>
      </w:r>
    </w:p>
    <w:p w14:paraId="176EAA4B">
      <w:pPr>
        <w:spacing w:before="156"/>
        <w:ind w:firstLine="480"/>
      </w:pPr>
      <w:r>
        <w:rPr>
          <w:rFonts w:hint="eastAsia"/>
        </w:rPr>
        <w:t>7</w:t>
      </w:r>
      <w:r>
        <w:t xml:space="preserve">.3.4 </w:t>
      </w:r>
      <w:r>
        <w:rPr>
          <w:rFonts w:hint="eastAsia"/>
        </w:rPr>
        <w:t>坑式基础底板支承于侧壁，其受力模式与支承条件密切相关。根据板的长宽比确定其计算模型（双向板或单向板），并在长边方向布置构造钢筋以控制温度及收缩裂缝。</w:t>
      </w:r>
    </w:p>
    <w:p w14:paraId="346BD63B">
      <w:pPr>
        <w:spacing w:before="156"/>
        <w:ind w:firstLine="480"/>
      </w:pPr>
      <w:r>
        <w:rPr>
          <w:rFonts w:hint="eastAsia"/>
        </w:rPr>
        <w:t>7</w:t>
      </w:r>
      <w:r>
        <w:t xml:space="preserve">.3.5 </w:t>
      </w:r>
      <w:r>
        <w:rPr>
          <w:rFonts w:hint="eastAsia"/>
        </w:rPr>
        <w:t>锻锤设备地脚螺栓连接处及安装部位存在较大的局部压力，易导致混凝土压溃或开裂。应依据《混凝土结构设计规范》GB 50010进行局部受压验算，必要时设置钢筋网片或型钢加强。</w:t>
      </w:r>
    </w:p>
    <w:p w14:paraId="56B6772B">
      <w:pPr>
        <w:pageBreakBefore/>
        <w:spacing w:before="156" w:line="360" w:lineRule="auto"/>
        <w:ind w:firstLine="0" w:firstLineChars="0"/>
        <w:jc w:val="center"/>
        <w:outlineLvl w:val="1"/>
        <w:rPr>
          <w:rFonts w:eastAsia="微软雅黑" w:cstheme="majorBidi"/>
          <w:bCs/>
          <w:sz w:val="28"/>
          <w:szCs w:val="32"/>
        </w:rPr>
      </w:pPr>
      <w:r>
        <w:rPr>
          <w:rFonts w:eastAsia="微软雅黑" w:cstheme="majorBidi"/>
          <w:bCs/>
          <w:sz w:val="28"/>
          <w:szCs w:val="32"/>
        </w:rPr>
        <w:t xml:space="preserve">8 </w:t>
      </w:r>
      <w:r>
        <w:rPr>
          <w:rFonts w:hint="eastAsia" w:eastAsia="微软雅黑" w:cstheme="majorBidi"/>
          <w:bCs/>
          <w:sz w:val="28"/>
          <w:szCs w:val="32"/>
        </w:rPr>
        <w:t>刚性基础动力分析</w:t>
      </w:r>
    </w:p>
    <w:p w14:paraId="31069825">
      <w:pPr>
        <w:spacing w:before="156" w:line="240" w:lineRule="auto"/>
        <w:ind w:firstLine="0" w:firstLineChars="0"/>
        <w:jc w:val="center"/>
        <w:outlineLvl w:val="2"/>
        <w:rPr>
          <w:bCs/>
          <w:sz w:val="28"/>
          <w:szCs w:val="32"/>
        </w:rPr>
      </w:pPr>
      <w:r>
        <w:rPr>
          <w:bCs/>
          <w:sz w:val="28"/>
          <w:szCs w:val="32"/>
        </w:rPr>
        <w:t xml:space="preserve">8.1 </w:t>
      </w:r>
      <w:r>
        <w:rPr>
          <w:rFonts w:hint="eastAsia"/>
          <w:bCs/>
          <w:sz w:val="28"/>
          <w:szCs w:val="32"/>
        </w:rPr>
        <w:t>一般规定</w:t>
      </w:r>
    </w:p>
    <w:p w14:paraId="5555B56D">
      <w:pPr>
        <w:spacing w:before="156"/>
        <w:ind w:firstLine="482"/>
      </w:pPr>
      <w:r>
        <w:rPr>
          <w:rFonts w:hint="eastAsia" w:cs="Times New Roman"/>
          <w:b/>
          <w:szCs w:val="24"/>
        </w:rPr>
        <w:t>8</w:t>
      </w:r>
      <w:r>
        <w:rPr>
          <w:rFonts w:cs="Times New Roman"/>
          <w:b/>
          <w:szCs w:val="24"/>
        </w:rPr>
        <w:t>.1.1</w:t>
      </w:r>
      <w:r>
        <w:t xml:space="preserve"> </w:t>
      </w:r>
      <w:r>
        <w:rPr>
          <w:rFonts w:hint="eastAsia"/>
        </w:rPr>
        <w:t>本条明确了需要进行动力计算的锻锤设备范围。“轻型及以上”的锻锤通常指落下部分质量不小于1t的锻锤（参见本标准第3.1.6条）。这类锻锤的冲击能量较大，引起的基础振动较为显著，仅进行静力设计不足以确保其安全性、适用性和对周边环境的影响可控。动力计算的目的是验算基础在冲击荷载作用下的振动位移、加速度和频率是否满足本标准第3.5节的容许振动标准，并为结构设计提供动力荷载依据。</w:t>
      </w:r>
    </w:p>
    <w:p w14:paraId="34A8F9F6">
      <w:pPr>
        <w:spacing w:before="156"/>
        <w:ind w:firstLine="480"/>
      </w:pPr>
      <w:r>
        <w:rPr>
          <w:rFonts w:hint="eastAsia"/>
        </w:rPr>
        <w:t>8</w:t>
      </w:r>
      <w:r>
        <w:t>.1.2 本条是锻锤基础设计的核心目标之一。基础的振动响应直接关系到：</w:t>
      </w:r>
    </w:p>
    <w:p w14:paraId="518A1A86">
      <w:pPr>
        <w:spacing w:before="156"/>
        <w:ind w:firstLine="480"/>
        <w:rPr>
          <w:kern w:val="0"/>
          <w:szCs w:val="24"/>
        </w:rPr>
      </w:pPr>
      <w:r>
        <w:rPr>
          <w:rFonts w:hint="eastAsia"/>
        </w:rPr>
        <w:t>1</w:t>
      </w:r>
      <w:r>
        <w:t xml:space="preserve"> 设备自身正常运行：过大的振动会影响锻锤的加工精度、降低工艺质量，并</w:t>
      </w:r>
      <w:r>
        <w:rPr>
          <w:kern w:val="0"/>
          <w:szCs w:val="24"/>
        </w:rPr>
        <w:t>可能导致设备本身或其连接部件发生疲劳破坏。</w:t>
      </w:r>
    </w:p>
    <w:p w14:paraId="3A285D73">
      <w:pPr>
        <w:spacing w:before="156"/>
        <w:ind w:firstLine="480"/>
      </w:pPr>
      <w:r>
        <w:rPr>
          <w:rFonts w:hint="eastAsia"/>
        </w:rPr>
        <w:t>2</w:t>
      </w:r>
      <w:r>
        <w:t xml:space="preserve"> 操作人员舒适性与安全：基础及相连操作平台的振动应在人体可接受范围内。</w:t>
      </w:r>
    </w:p>
    <w:p w14:paraId="3995C54B">
      <w:pPr>
        <w:spacing w:before="156"/>
        <w:ind w:firstLine="480"/>
        <w:rPr>
          <w:kern w:val="0"/>
          <w:szCs w:val="24"/>
        </w:rPr>
      </w:pPr>
      <w:r>
        <w:rPr>
          <w:rFonts w:hint="eastAsia"/>
        </w:rPr>
        <w:t>3</w:t>
      </w:r>
      <w:r>
        <w:t xml:space="preserve"> 周边环境与建筑安全：振动通过地基土传播，可能影响邻近的精密设备、仪</w:t>
      </w:r>
      <w:r>
        <w:rPr>
          <w:kern w:val="0"/>
          <w:szCs w:val="24"/>
        </w:rPr>
        <w:t>器和建筑结构的安全与正常使用。</w:t>
      </w:r>
      <w:r>
        <w:rPr>
          <w:kern w:val="0"/>
          <w:szCs w:val="24"/>
        </w:rPr>
        <w:br w:type="textWrapping"/>
      </w:r>
      <w:r>
        <w:rPr>
          <w:kern w:val="0"/>
          <w:szCs w:val="24"/>
        </w:rPr>
        <w:t>因此，动力分析的结果必须符合现行国家标准《建筑工程容许振动标准》GB 50868的规定，该标准对不同保护对象提出了详细的振动限值要求。</w:t>
      </w:r>
    </w:p>
    <w:p w14:paraId="7BD99CCF">
      <w:pPr>
        <w:spacing w:before="156"/>
        <w:ind w:firstLine="480"/>
      </w:pPr>
      <w:r>
        <w:rPr>
          <w:rFonts w:hint="eastAsia"/>
        </w:rPr>
        <w:t>8</w:t>
      </w:r>
      <w:r>
        <w:t>.1.3 本条提供了进行锻锤基础动力分析时建议采用的简化力学模型。锻锤基础的振动主要表现为竖向振动，将“基组”（基础、砧座、锤架及基础上回填土的总质量）视为一个集中质量，将地基的支承作用简化为一个弹簧（刚度为</w:t>
      </w:r>
      <m:oMath>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z</m:t>
            </m:r>
            <m:ctrlPr>
              <w:rPr>
                <w:rFonts w:ascii="Cambria Math" w:hAnsi="Cambria Math"/>
              </w:rPr>
            </m:ctrlPr>
          </m:sub>
        </m:sSub>
      </m:oMath>
      <w:r>
        <w:t>或</w:t>
      </w:r>
      <m:oMath>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pz</m:t>
            </m:r>
            <m:ctrlPr>
              <w:rPr>
                <w:rFonts w:ascii="Cambria Math" w:hAnsi="Cambria Math"/>
              </w:rPr>
            </m:ctrlPr>
          </m:sub>
        </m:sSub>
      </m:oMath>
      <w:r>
        <w:t>），形成一个单自由度体系，是工程中广泛采用且经验证有效的简化分析方法。该模型概念清晰，计算简便，适用于初步设计和大多数中、小型锻锤的基础动力分析。本章第8.2节的公式即基于此模型推导而来。对于体型复杂、受力特殊或对分析精度要求极高的大型、特大型锻锤基础，可按第8.3节要求采用更精细的数值模型进行分析。</w:t>
      </w:r>
    </w:p>
    <w:p w14:paraId="48DF26DF">
      <w:pPr>
        <w:spacing w:before="156" w:line="240" w:lineRule="auto"/>
        <w:ind w:firstLine="0" w:firstLineChars="0"/>
        <w:jc w:val="center"/>
        <w:outlineLvl w:val="2"/>
        <w:rPr>
          <w:bCs/>
          <w:sz w:val="28"/>
          <w:szCs w:val="32"/>
        </w:rPr>
      </w:pPr>
      <w:bookmarkStart w:id="75" w:name="_Toc206578589"/>
      <w:r>
        <w:rPr>
          <w:bCs/>
          <w:sz w:val="28"/>
          <w:szCs w:val="32"/>
        </w:rPr>
        <w:t xml:space="preserve">8.2 </w:t>
      </w:r>
      <w:r>
        <w:rPr>
          <w:rFonts w:hint="eastAsia"/>
          <w:bCs/>
          <w:sz w:val="28"/>
          <w:szCs w:val="32"/>
        </w:rPr>
        <w:t>振动计算</w:t>
      </w:r>
      <w:bookmarkEnd w:id="75"/>
    </w:p>
    <w:p w14:paraId="46064098">
      <w:pPr>
        <w:spacing w:before="156"/>
        <w:ind w:firstLine="480"/>
      </w:pPr>
      <w:r>
        <w:rPr>
          <w:rFonts w:hint="eastAsia"/>
        </w:rPr>
        <w:t>8</w:t>
      </w:r>
      <w:r>
        <w:t>.2.1本条给出了锻锤刚性基础顶面竖向振动位移、加速度及基组固有圆频率的简化计算公式。该方法是基于有阻尼单自由度体系在冲击荷载作用下的理论解，并引入了经工程实践验证的调整系数（</w:t>
      </w:r>
      <m:oMath>
        <m:sSub>
          <m:sSubPr>
            <m:ctrlPr>
              <w:rPr>
                <w:rFonts w:ascii="Cambria Math" w:hAnsi="Cambria Math" w:cs="Times New Roman"/>
                <w:i/>
                <w:sz w:val="29"/>
                <w:szCs w:val="29"/>
              </w:rPr>
            </m:ctrlPr>
          </m:sSubPr>
          <m:e>
            <m:r>
              <m:rPr/>
              <w:rPr>
                <w:rFonts w:ascii="Cambria Math" w:hAnsi="Cambria Math" w:cs="Times New Roman"/>
                <w:sz w:val="29"/>
                <w:szCs w:val="29"/>
              </w:rPr>
              <m:t>η</m:t>
            </m:r>
            <m:ctrlPr>
              <w:rPr>
                <w:rFonts w:ascii="Cambria Math" w:hAnsi="Cambria Math" w:cs="Times New Roman"/>
                <w:i/>
                <w:sz w:val="29"/>
                <w:szCs w:val="29"/>
              </w:rPr>
            </m:ctrlPr>
          </m:e>
          <m:sub>
            <m:r>
              <m:rPr/>
              <w:rPr>
                <w:rFonts w:ascii="Cambria Math" w:hAnsi="Cambria Math" w:cs="Times New Roman"/>
                <w:sz w:val="29"/>
                <w:szCs w:val="29"/>
              </w:rPr>
              <m:t>μ</m:t>
            </m:r>
            <m:ctrlPr>
              <w:rPr>
                <w:rFonts w:ascii="Cambria Math" w:hAnsi="Cambria Math" w:cs="Times New Roman"/>
                <w:i/>
                <w:sz w:val="29"/>
                <w:szCs w:val="29"/>
              </w:rPr>
            </m:ctrlPr>
          </m:sub>
        </m:sSub>
        <m:r>
          <m:rPr>
            <m:sty m:val="p"/>
          </m:rPr>
          <w:rPr>
            <w:rFonts w:hint="eastAsia" w:ascii="Cambria Math" w:hAnsi="Cambria Math" w:cs="Times New Roman"/>
            <w:sz w:val="29"/>
            <w:szCs w:val="29"/>
          </w:rPr>
          <m:t>，</m:t>
        </m:r>
        <m:sSub>
          <m:sSubPr>
            <m:ctrlPr>
              <w:rPr>
                <w:rFonts w:ascii="Cambria Math" w:hAnsi="Cambria Math" w:cs="Times New Roman"/>
                <w:i/>
                <w:sz w:val="29"/>
                <w:szCs w:val="29"/>
              </w:rPr>
            </m:ctrlPr>
          </m:sSubPr>
          <m:e>
            <m:r>
              <m:rPr/>
              <w:rPr>
                <w:rFonts w:ascii="Cambria Math" w:hAnsi="Cambria Math" w:cs="Times New Roman"/>
                <w:sz w:val="29"/>
                <w:szCs w:val="29"/>
              </w:rPr>
              <m:t>η</m:t>
            </m:r>
            <m:ctrlPr>
              <w:rPr>
                <w:rFonts w:ascii="Cambria Math" w:hAnsi="Cambria Math" w:cs="Times New Roman"/>
                <w:i/>
                <w:sz w:val="29"/>
                <w:szCs w:val="29"/>
              </w:rPr>
            </m:ctrlPr>
          </m:e>
          <m:sub>
            <m:r>
              <m:rPr/>
              <w:rPr>
                <w:rFonts w:ascii="Cambria Math" w:hAnsi="Cambria Math" w:cs="Times New Roman"/>
                <w:sz w:val="29"/>
                <w:szCs w:val="29"/>
              </w:rPr>
              <m:t>λ</m:t>
            </m:r>
            <m:ctrlPr>
              <w:rPr>
                <w:rFonts w:ascii="Cambria Math" w:hAnsi="Cambria Math" w:cs="Times New Roman"/>
                <w:i/>
                <w:sz w:val="29"/>
                <w:szCs w:val="29"/>
              </w:rPr>
            </m:ctrlPr>
          </m:sub>
        </m:sSub>
      </m:oMath>
      <w:r>
        <w:t>），以考虑实际基础与理想模型的差异。</w:t>
      </w:r>
    </w:p>
    <w:p w14:paraId="78E8EA7F">
      <w:pPr>
        <w:spacing w:before="156"/>
        <w:ind w:firstLine="480"/>
      </w:pPr>
      <w:r>
        <w:rPr>
          <w:rFonts w:hint="eastAsia"/>
        </w:rPr>
        <w:t>1</w:t>
      </w:r>
      <w:r>
        <w:t xml:space="preserve"> 公式物理意义：公式（8.2.1-1）本质上反映了动量守恒原理和能量法思想。锻锤打击的初始动能被地基的弹性变形所吸收并转化为振动能。公式中的</w:t>
      </w:r>
      <m:oMath>
        <m:rad>
          <m:radPr>
            <m:degHide m:val="1"/>
            <m:ctrlPr>
              <w:rPr>
                <w:rFonts w:ascii="Cambria Math" w:hAnsi="Cambria Math"/>
              </w:rPr>
            </m:ctrlPr>
          </m:radPr>
          <m:deg>
            <m:ctrlPr>
              <w:rPr>
                <w:rFonts w:ascii="Cambria Math" w:hAnsi="Cambria Math"/>
              </w:rPr>
            </m:ctrlPr>
          </m:deg>
          <m:e>
            <m:sSub>
              <m:sSubPr>
                <m:ctrlPr>
                  <w:rPr>
                    <w:rFonts w:ascii="Cambria Math" w:hAnsi="Cambria Math"/>
                    <w:i/>
                  </w:rPr>
                </m:ctrlPr>
              </m:sSubPr>
              <m:e>
                <m:r>
                  <m:rPr/>
                  <w:rPr>
                    <w:rFonts w:hint="eastAsia" w:ascii="Cambria Math" w:hAnsi="Cambria Math"/>
                  </w:rPr>
                  <m:t>K</m:t>
                </m:r>
                <m:ctrlPr>
                  <w:rPr>
                    <w:rFonts w:ascii="Cambria Math" w:hAnsi="Cambria Math"/>
                    <w:i/>
                  </w:rPr>
                </m:ctrlPr>
              </m:e>
              <m:sub>
                <m:r>
                  <m:rPr/>
                  <w:rPr>
                    <w:rFonts w:ascii="Cambria Math" w:hAnsi="Cambria Math"/>
                  </w:rPr>
                  <m:t>z</m:t>
                </m:r>
                <m:ctrlPr>
                  <w:rPr>
                    <w:rFonts w:ascii="Cambria Math" w:hAnsi="Cambria Math"/>
                    <w:i/>
                  </w:rPr>
                </m:ctrlPr>
              </m:sub>
            </m:sSub>
            <m:r>
              <m:rPr/>
              <w:rPr>
                <w:rFonts w:ascii="Cambria Math" w:hAnsi="Cambria Math"/>
              </w:rPr>
              <m:t>m</m:t>
            </m:r>
            <m:ctrlPr>
              <w:rPr>
                <w:rFonts w:ascii="Cambria Math" w:hAnsi="Cambria Math"/>
              </w:rPr>
            </m:ctrlPr>
          </m:e>
        </m:rad>
      </m:oMath>
      <w:r>
        <w:t>项代表了基组与地基组成的系统的特征阻抗，是决定振动响应大小的关键参数。</w:t>
      </w:r>
    </w:p>
    <w:p w14:paraId="1A78FDD4">
      <w:pPr>
        <w:spacing w:before="156"/>
        <w:ind w:firstLine="480"/>
        <w:rPr>
          <w:kern w:val="0"/>
          <w:szCs w:val="24"/>
        </w:rPr>
      </w:pPr>
      <w:r>
        <w:rPr>
          <w:rFonts w:hint="eastAsia"/>
        </w:rPr>
        <w:t>2</w:t>
      </w:r>
      <w:r>
        <w:t xml:space="preserve"> 调整系数：</w:t>
      </w:r>
      <m:oMath>
        <m:sSub>
          <m:sSubPr>
            <m:ctrlPr>
              <w:rPr>
                <w:rFonts w:ascii="Cambria Math" w:hAnsi="Cambria Math"/>
              </w:rPr>
            </m:ctrlPr>
          </m:sSubPr>
          <m:e>
            <m:r>
              <m:rPr/>
              <w:rPr>
                <w:rFonts w:ascii="Cambria Math" w:hAnsi="Cambria Math"/>
              </w:rPr>
              <m:t>η</m:t>
            </m:r>
            <m:ctrlPr>
              <w:rPr>
                <w:rFonts w:ascii="Cambria Math" w:hAnsi="Cambria Math"/>
              </w:rPr>
            </m:ctrlPr>
          </m:e>
          <m:sub>
            <m:r>
              <m:rPr/>
              <w:rPr>
                <w:rFonts w:ascii="Cambria Math" w:hAnsi="Cambria Math"/>
              </w:rPr>
              <m:t>μ</m:t>
            </m:r>
            <m:ctrlPr>
              <w:rPr>
                <w:rFonts w:ascii="Cambria Math" w:hAnsi="Cambria Math"/>
              </w:rPr>
            </m:ctrlPr>
          </m:sub>
        </m:sSub>
      </m:oMath>
      <w:r>
        <w:t>位移调整系数）和</w:t>
      </w:r>
      <m:oMath>
        <m:sSub>
          <m:sSubPr>
            <m:ctrlPr>
              <w:rPr>
                <w:rFonts w:ascii="Cambria Math" w:hAnsi="Cambria Math"/>
              </w:rPr>
            </m:ctrlPr>
          </m:sSubPr>
          <m:e>
            <m:r>
              <m:rPr/>
              <w:rPr>
                <w:rFonts w:ascii="Cambria Math" w:hAnsi="Cambria Math"/>
              </w:rPr>
              <m:t>η</m:t>
            </m:r>
            <m:ctrlPr>
              <w:rPr>
                <w:rFonts w:ascii="Cambria Math" w:hAnsi="Cambria Math"/>
              </w:rPr>
            </m:ctrlPr>
          </m:e>
          <m:sub>
            <m:r>
              <m:rPr/>
              <w:rPr>
                <w:rFonts w:ascii="Cambria Math" w:hAnsi="Cambria Math"/>
              </w:rPr>
              <m:t>λ</m:t>
            </m:r>
            <m:ctrlPr>
              <w:rPr>
                <w:rFonts w:ascii="Cambria Math" w:hAnsi="Cambria Math"/>
              </w:rPr>
            </m:ctrlPr>
          </m:sub>
        </m:sSub>
      </m:oMath>
      <w:r>
        <w:t>（频率调整系数）用于修正理论公式与</w:t>
      </w:r>
      <w:r>
        <w:rPr>
          <w:kern w:val="0"/>
          <w:szCs w:val="24"/>
        </w:rPr>
        <w:t>实际工程之间的偏差。其取值综合了地基的非完全弹性、基础的非绝对刚性、动力参振质量的不确定性等因素。设计中应根据地基土类别、基础尺寸和埋深等条件，参照相关手册或试验数据合理选取，通常取值范围在0.6~1.0之间。当无可靠数据时，可暂取1.0进行初步估算。</w:t>
      </w:r>
    </w:p>
    <w:p w14:paraId="2EAE72E0">
      <w:pPr>
        <w:spacing w:before="156"/>
        <w:ind w:firstLine="480"/>
        <w:rPr>
          <w:kern w:val="0"/>
          <w:szCs w:val="24"/>
        </w:rPr>
      </w:pPr>
      <w:r>
        <w:rPr>
          <w:rFonts w:hint="eastAsia"/>
        </w:rPr>
        <w:t>3</w:t>
      </w:r>
      <w:r>
        <w:t xml:space="preserve"> 适用范围：本公式适用于初步设计和中小型锻锤基础的振动估算。对于大</w:t>
      </w:r>
      <w:r>
        <w:rPr>
          <w:kern w:val="0"/>
          <w:szCs w:val="24"/>
        </w:rPr>
        <w:t>型、特大型锻锤或地质条件复杂的基础，宜按本标准第8.3节的规定，采用数值分析法进行更精确的校核。</w:t>
      </w:r>
    </w:p>
    <w:p w14:paraId="6F2DB403">
      <w:pPr>
        <w:spacing w:before="156"/>
        <w:ind w:firstLine="480"/>
      </w:pPr>
      <w:r>
        <w:rPr>
          <w:rFonts w:hint="eastAsia"/>
        </w:rPr>
        <w:t>8.2.2</w:t>
      </w:r>
      <w:r>
        <w:t xml:space="preserve"> </w:t>
      </w:r>
      <w:r>
        <w:rPr>
          <w:rFonts w:hint="eastAsia"/>
        </w:rPr>
        <w:t>锻锤回弹系数也称为恢复系数，表示锤击系统在锻击后相对速度与锻击前相对速度的比值，此处可将其体现为锻件的弹塑性指标。e值随锻件温度的增高而减少，其值在0~1之间。</w:t>
      </w:r>
    </w:p>
    <w:p w14:paraId="475FBEB7">
      <w:pPr>
        <w:spacing w:before="156"/>
        <w:ind w:firstLine="480"/>
      </w:pPr>
      <w:r>
        <w:rPr>
          <w:rFonts w:hint="eastAsia"/>
        </w:rPr>
        <w:t>《锻压手册》中有：回弹系数e值取决于锻件的锻造温度。温度越高，e值越小，打击效率就越高，反之，锻造温度过低甚至打冷铁，对锻锤的能量利用不利。自由锻工艺的锻件一般能在较高的锻造温度下变形，故自由锻锤的e值可取为0.3，而模锻件在终锻模膛内终锻成形时，已接近终锻温度，所以，模锻锤的e值应取为0.5。</w:t>
      </w:r>
    </w:p>
    <w:p w14:paraId="3F24546A">
      <w:pPr>
        <w:spacing w:before="156"/>
        <w:ind w:firstLine="480"/>
      </w:pPr>
      <w:r>
        <w:rPr>
          <w:rFonts w:hint="eastAsia"/>
        </w:rPr>
        <w:t>《动力机器基础设计手册》引入了冲击回弹影响系数</w:t>
      </w:r>
      <m:oMath>
        <m:sSub>
          <m:sSubPr>
            <m:ctrlPr>
              <w:rPr>
                <w:rFonts w:ascii="Cambria Math" w:hAnsi="Cambria Math"/>
              </w:rPr>
            </m:ctrlPr>
          </m:sSubPr>
          <m:e>
            <m:r>
              <m:rPr/>
              <w:rPr>
                <w:rFonts w:ascii="Cambria Math" w:hAnsi="Cambria Math"/>
              </w:rPr>
              <m:t>ψ</m:t>
            </m:r>
            <m:ctrlPr>
              <w:rPr>
                <w:rFonts w:ascii="Cambria Math" w:hAnsi="Cambria Math"/>
              </w:rPr>
            </m:ctrlPr>
          </m:e>
          <m:sub>
            <m:r>
              <m:rPr/>
              <w:rPr>
                <w:rFonts w:hint="eastAsia" w:ascii="Cambria Math" w:hAnsi="Cambria Math"/>
              </w:rPr>
              <m:t>e</m:t>
            </m:r>
            <m:ctrlPr>
              <w:rPr>
                <w:rFonts w:ascii="Cambria Math" w:hAnsi="Cambria Math"/>
              </w:rPr>
            </m:ctrlPr>
          </m:sub>
        </m:sSub>
        <m:r>
          <m:rPr/>
          <w:rPr>
            <w:rFonts w:ascii="Cambria Math" w:hAnsi="Cambria Math"/>
          </w:rPr>
          <m:t>=</m:t>
        </m:r>
        <m:f>
          <m:fPr>
            <m:ctrlPr>
              <w:rPr>
                <w:rFonts w:ascii="Cambria Math" w:hAnsi="Cambria Math"/>
                <w:i/>
              </w:rPr>
            </m:ctrlPr>
          </m:fPr>
          <m:num>
            <m:r>
              <m:rPr/>
              <w:rPr>
                <w:rFonts w:ascii="Cambria Math" w:hAnsi="Cambria Math"/>
              </w:rPr>
              <m:t>1+e</m:t>
            </m:r>
            <m:ctrlPr>
              <w:rPr>
                <w:rFonts w:ascii="Cambria Math" w:hAnsi="Cambria Math"/>
                <w:i/>
              </w:rPr>
            </m:ctrlPr>
          </m:num>
          <m:den>
            <m:rad>
              <m:radPr>
                <m:degHide m:val="1"/>
                <m:ctrlPr>
                  <w:rPr>
                    <w:rFonts w:ascii="Cambria Math" w:hAnsi="Cambria Math"/>
                    <w:i/>
                  </w:rPr>
                </m:ctrlPr>
              </m:radPr>
              <m:deg>
                <m:ctrlPr>
                  <w:rPr>
                    <w:rFonts w:ascii="Cambria Math" w:hAnsi="Cambria Math"/>
                    <w:i/>
                  </w:rPr>
                </m:ctrlPr>
              </m:deg>
              <m:e>
                <m:r>
                  <m:rPr/>
                  <w:rPr>
                    <w:rFonts w:ascii="Cambria Math" w:hAnsi="Cambria Math"/>
                  </w:rPr>
                  <m:t>g</m:t>
                </m:r>
                <m:ctrlPr>
                  <w:rPr>
                    <w:rFonts w:ascii="Cambria Math" w:hAnsi="Cambria Math"/>
                    <w:i/>
                  </w:rPr>
                </m:ctrlPr>
              </m:e>
            </m:rad>
            <m:ctrlPr>
              <w:rPr>
                <w:rFonts w:ascii="Cambria Math" w:hAnsi="Cambria Math"/>
                <w:i/>
              </w:rPr>
            </m:ctrlPr>
          </m:den>
        </m:f>
      </m:oMath>
      <w:r>
        <w:rPr>
          <w:rFonts w:hint="eastAsia"/>
        </w:rPr>
        <w:t>。冲击回弹影响系数。对模锻锤：当模锻钢制品时，取</w:t>
      </w:r>
      <m:oMath>
        <m:r>
          <m:rPr>
            <m:sty m:val="p"/>
          </m:rPr>
          <w:rPr>
            <w:rFonts w:hint="eastAsia" w:ascii="Cambria Math" w:hAnsi="Cambria Math"/>
          </w:rPr>
          <m:t>0.5s/</m:t>
        </m:r>
        <m:sSup>
          <m:sSupPr>
            <m:ctrlPr>
              <w:rPr>
                <w:rFonts w:ascii="Cambria Math" w:hAnsi="Cambria Math"/>
              </w:rPr>
            </m:ctrlPr>
          </m:sSupPr>
          <m:e>
            <m:r>
              <m:rPr>
                <m:sty m:val="p"/>
              </m:rPr>
              <w:rPr>
                <w:rFonts w:hint="eastAsia" w:ascii="Cambria Math" w:hAnsi="Cambria Math"/>
              </w:rPr>
              <m:t>m</m:t>
            </m:r>
            <m:ctrlPr>
              <w:rPr>
                <w:rFonts w:ascii="Cambria Math" w:hAnsi="Cambria Math"/>
              </w:rPr>
            </m:ctrlPr>
          </m:e>
          <m:sup>
            <m:f>
              <m:fPr>
                <m:ctrlPr>
                  <w:rPr>
                    <w:rFonts w:ascii="Cambria Math" w:hAnsi="Cambria Math"/>
                    <w:i/>
                  </w:rPr>
                </m:ctrlPr>
              </m:fPr>
              <m:num>
                <m:r>
                  <m:rPr/>
                  <w:rPr>
                    <w:rFonts w:hint="eastAsia" w:ascii="Cambria Math" w:hAnsi="Cambria Math"/>
                  </w:rPr>
                  <m:t>1</m:t>
                </m:r>
                <m:ctrlPr>
                  <w:rPr>
                    <w:rFonts w:ascii="Cambria Math" w:hAnsi="Cambria Math"/>
                    <w:i/>
                  </w:rPr>
                </m:ctrlPr>
              </m:num>
              <m:den>
                <m:r>
                  <m:rPr/>
                  <w:rPr>
                    <w:rFonts w:hint="eastAsia" w:ascii="Cambria Math" w:hAnsi="Cambria Math"/>
                  </w:rPr>
                  <m:t>2</m:t>
                </m:r>
                <m:ctrlPr>
                  <w:rPr>
                    <w:rFonts w:ascii="Cambria Math" w:hAnsi="Cambria Math"/>
                    <w:i/>
                  </w:rPr>
                </m:ctrlPr>
              </m:den>
            </m:f>
            <m:ctrlPr>
              <w:rPr>
                <w:rFonts w:ascii="Cambria Math" w:hAnsi="Cambria Math"/>
              </w:rPr>
            </m:ctrlPr>
          </m:sup>
        </m:sSup>
      </m:oMath>
      <w:r>
        <w:rPr>
          <w:rFonts w:hint="eastAsia"/>
        </w:rPr>
        <w:t>；模锻有色金属制品时，取</w:t>
      </w:r>
      <m:oMath>
        <m:r>
          <m:rPr>
            <m:sty m:val="p"/>
          </m:rPr>
          <w:rPr>
            <w:rFonts w:hint="eastAsia" w:ascii="Cambria Math" w:hAnsi="Cambria Math"/>
          </w:rPr>
          <m:t>0.35s/</m:t>
        </m:r>
        <m:sSup>
          <m:sSupPr>
            <m:ctrlPr>
              <w:rPr>
                <w:rFonts w:ascii="Cambria Math" w:hAnsi="Cambria Math"/>
              </w:rPr>
            </m:ctrlPr>
          </m:sSupPr>
          <m:e>
            <m:r>
              <m:rPr>
                <m:sty m:val="p"/>
              </m:rPr>
              <w:rPr>
                <w:rFonts w:hint="eastAsia" w:ascii="Cambria Math" w:hAnsi="Cambria Math"/>
              </w:rPr>
              <m:t>m</m:t>
            </m:r>
            <m:ctrlPr>
              <w:rPr>
                <w:rFonts w:ascii="Cambria Math" w:hAnsi="Cambria Math"/>
              </w:rPr>
            </m:ctrlPr>
          </m:e>
          <m:sup>
            <m:f>
              <m:fPr>
                <m:ctrlPr>
                  <w:rPr>
                    <w:rFonts w:ascii="Cambria Math" w:hAnsi="Cambria Math"/>
                    <w:i/>
                  </w:rPr>
                </m:ctrlPr>
              </m:fPr>
              <m:num>
                <m:r>
                  <m:rPr/>
                  <w:rPr>
                    <w:rFonts w:hint="eastAsia" w:ascii="Cambria Math" w:hAnsi="Cambria Math"/>
                  </w:rPr>
                  <m:t>1</m:t>
                </m:r>
                <m:ctrlPr>
                  <w:rPr>
                    <w:rFonts w:ascii="Cambria Math" w:hAnsi="Cambria Math"/>
                    <w:i/>
                  </w:rPr>
                </m:ctrlPr>
              </m:num>
              <m:den>
                <m:r>
                  <m:rPr/>
                  <w:rPr>
                    <w:rFonts w:hint="eastAsia" w:ascii="Cambria Math" w:hAnsi="Cambria Math"/>
                  </w:rPr>
                  <m:t>2</m:t>
                </m:r>
                <m:ctrlPr>
                  <w:rPr>
                    <w:rFonts w:ascii="Cambria Math" w:hAnsi="Cambria Math"/>
                    <w:i/>
                  </w:rPr>
                </m:ctrlPr>
              </m:den>
            </m:f>
            <m:ctrlPr>
              <w:rPr>
                <w:rFonts w:ascii="Cambria Math" w:hAnsi="Cambria Math"/>
              </w:rPr>
            </m:ctrlPr>
          </m:sup>
        </m:sSup>
      </m:oMath>
      <w:r>
        <w:rPr>
          <w:rFonts w:hint="eastAsia"/>
        </w:rPr>
        <w:t>；对自由锻锤，取</w:t>
      </w:r>
      <m:oMath>
        <m:r>
          <m:rPr>
            <m:sty m:val="p"/>
          </m:rPr>
          <w:rPr>
            <w:rFonts w:hint="eastAsia" w:ascii="Cambria Math" w:hAnsi="Cambria Math"/>
          </w:rPr>
          <m:t>0.4s/</m:t>
        </m:r>
        <m:sSup>
          <m:sSupPr>
            <m:ctrlPr>
              <w:rPr>
                <w:rFonts w:ascii="Cambria Math" w:hAnsi="Cambria Math"/>
              </w:rPr>
            </m:ctrlPr>
          </m:sSupPr>
          <m:e>
            <m:r>
              <m:rPr>
                <m:sty m:val="p"/>
              </m:rPr>
              <w:rPr>
                <w:rFonts w:hint="eastAsia" w:ascii="Cambria Math" w:hAnsi="Cambria Math"/>
              </w:rPr>
              <m:t>m</m:t>
            </m:r>
            <m:ctrlPr>
              <w:rPr>
                <w:rFonts w:ascii="Cambria Math" w:hAnsi="Cambria Math"/>
              </w:rPr>
            </m:ctrlPr>
          </m:e>
          <m:sup>
            <m:f>
              <m:fPr>
                <m:ctrlPr>
                  <w:rPr>
                    <w:rFonts w:ascii="Cambria Math" w:hAnsi="Cambria Math"/>
                    <w:i/>
                  </w:rPr>
                </m:ctrlPr>
              </m:fPr>
              <m:num>
                <m:r>
                  <m:rPr/>
                  <w:rPr>
                    <w:rFonts w:hint="eastAsia" w:ascii="Cambria Math" w:hAnsi="Cambria Math"/>
                  </w:rPr>
                  <m:t>1</m:t>
                </m:r>
                <m:ctrlPr>
                  <w:rPr>
                    <w:rFonts w:ascii="Cambria Math" w:hAnsi="Cambria Math"/>
                    <w:i/>
                  </w:rPr>
                </m:ctrlPr>
              </m:num>
              <m:den>
                <m:r>
                  <m:rPr/>
                  <w:rPr>
                    <w:rFonts w:hint="eastAsia" w:ascii="Cambria Math" w:hAnsi="Cambria Math"/>
                  </w:rPr>
                  <m:t>2</m:t>
                </m:r>
                <m:ctrlPr>
                  <w:rPr>
                    <w:rFonts w:ascii="Cambria Math" w:hAnsi="Cambria Math"/>
                    <w:i/>
                  </w:rPr>
                </m:ctrlPr>
              </m:den>
            </m:f>
            <m:ctrlPr>
              <w:rPr>
                <w:rFonts w:ascii="Cambria Math" w:hAnsi="Cambria Math"/>
              </w:rPr>
            </m:ctrlPr>
          </m:sup>
        </m:sSup>
      </m:oMath>
      <w:r>
        <w:rPr>
          <w:rFonts w:hint="eastAsia"/>
        </w:rPr>
        <w:t>。将上述参数汇总与下表中。</w:t>
      </w:r>
    </w:p>
    <w:p w14:paraId="6FC7297E">
      <w:pPr>
        <w:spacing w:before="0" w:beforeLines="0"/>
        <w:ind w:firstLine="0" w:firstLineChars="0"/>
        <w:jc w:val="center"/>
        <w:rPr>
          <w:rFonts w:ascii="Cambria Math" w:hAnsi="Cambria Math"/>
          <w:szCs w:val="28"/>
        </w:rPr>
      </w:pPr>
      <w:r>
        <w:rPr>
          <w:rFonts w:hint="eastAsia" w:ascii="Cambria Math" w:hAnsi="Cambria Math"/>
          <w:szCs w:val="28"/>
        </w:rPr>
        <w:t>表8.2.2</w:t>
      </w:r>
      <w:r>
        <w:rPr>
          <w:rFonts w:ascii="Cambria Math" w:hAnsi="Cambria Math"/>
          <w:szCs w:val="28"/>
        </w:rPr>
        <w:t xml:space="preserve"> </w:t>
      </w:r>
      <w:r>
        <w:rPr>
          <w:rFonts w:hint="eastAsia" w:ascii="Cambria Math" w:hAnsi="Cambria Math"/>
          <w:szCs w:val="28"/>
        </w:rPr>
        <w:t>锻锤回弹系数</w:t>
      </w:r>
    </w:p>
    <w:tbl>
      <w:tblPr>
        <w:tblStyle w:val="1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1559"/>
        <w:gridCol w:w="1701"/>
        <w:gridCol w:w="1224"/>
      </w:tblGrid>
      <w:tr w14:paraId="43087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Align w:val="center"/>
          </w:tcPr>
          <w:p w14:paraId="468FAF73">
            <w:pPr>
              <w:spacing w:before="0" w:beforeLines="0"/>
              <w:ind w:firstLine="0" w:firstLineChars="0"/>
              <w:jc w:val="center"/>
              <w:rPr>
                <w:rFonts w:ascii="Cambria Math" w:hAnsi="Cambria Math"/>
                <w:szCs w:val="28"/>
              </w:rPr>
            </w:pPr>
            <w:r>
              <w:rPr>
                <w:rFonts w:hint="eastAsia" w:ascii="Cambria Math" w:hAnsi="Cambria Math"/>
                <w:szCs w:val="28"/>
              </w:rPr>
              <w:t>名称</w:t>
            </w:r>
          </w:p>
        </w:tc>
        <w:tc>
          <w:tcPr>
            <w:tcW w:w="1559" w:type="dxa"/>
            <w:vAlign w:val="center"/>
          </w:tcPr>
          <w:p w14:paraId="114A9F2E">
            <w:pPr>
              <w:spacing w:before="0" w:beforeLines="0"/>
              <w:ind w:firstLine="0" w:firstLineChars="0"/>
              <w:jc w:val="center"/>
              <w:rPr>
                <w:rFonts w:ascii="Cambria Math" w:hAnsi="Cambria Math"/>
                <w:szCs w:val="28"/>
              </w:rPr>
            </w:pPr>
            <w:r>
              <w:rPr>
                <w:rFonts w:hint="eastAsia" w:ascii="Cambria Math" w:hAnsi="Cambria Math"/>
                <w:szCs w:val="28"/>
              </w:rPr>
              <w:t>模锻钢制品</w:t>
            </w:r>
          </w:p>
        </w:tc>
        <w:tc>
          <w:tcPr>
            <w:tcW w:w="1701" w:type="dxa"/>
            <w:vAlign w:val="center"/>
          </w:tcPr>
          <w:p w14:paraId="76C9575D">
            <w:pPr>
              <w:spacing w:before="0" w:beforeLines="0"/>
              <w:ind w:firstLine="0" w:firstLineChars="0"/>
              <w:jc w:val="center"/>
              <w:rPr>
                <w:rFonts w:ascii="Cambria Math" w:hAnsi="Cambria Math"/>
                <w:szCs w:val="28"/>
              </w:rPr>
            </w:pPr>
            <w:r>
              <w:rPr>
                <w:rFonts w:hint="eastAsia" w:ascii="Cambria Math" w:hAnsi="Cambria Math"/>
                <w:szCs w:val="28"/>
              </w:rPr>
              <w:t>模锻有色金属</w:t>
            </w:r>
          </w:p>
        </w:tc>
        <w:tc>
          <w:tcPr>
            <w:tcW w:w="1224" w:type="dxa"/>
            <w:vAlign w:val="center"/>
          </w:tcPr>
          <w:p w14:paraId="252978B5">
            <w:pPr>
              <w:spacing w:before="0" w:beforeLines="0"/>
              <w:ind w:firstLine="0" w:firstLineChars="0"/>
              <w:jc w:val="center"/>
              <w:rPr>
                <w:rFonts w:ascii="Cambria Math" w:hAnsi="Cambria Math"/>
                <w:szCs w:val="28"/>
              </w:rPr>
            </w:pPr>
            <w:r>
              <w:rPr>
                <w:rFonts w:hint="eastAsia" w:ascii="Cambria Math" w:hAnsi="Cambria Math"/>
                <w:szCs w:val="28"/>
              </w:rPr>
              <w:t>自由锻</w:t>
            </w:r>
          </w:p>
        </w:tc>
      </w:tr>
      <w:tr w14:paraId="57DF4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Align w:val="center"/>
          </w:tcPr>
          <w:p w14:paraId="37B86911">
            <w:pPr>
              <w:spacing w:before="0" w:beforeLines="0"/>
              <w:ind w:firstLine="0" w:firstLineChars="0"/>
              <w:jc w:val="center"/>
              <w:rPr>
                <w:rFonts w:ascii="Cambria Math" w:hAnsi="Cambria Math"/>
                <w:szCs w:val="28"/>
              </w:rPr>
            </w:pPr>
            <w:r>
              <w:rPr>
                <w:rFonts w:hint="eastAsia" w:ascii="Cambria Math" w:hAnsi="Cambria Math"/>
                <w:szCs w:val="28"/>
              </w:rPr>
              <w:t>《动力机器基础设计手册》</w:t>
            </w:r>
          </w:p>
        </w:tc>
        <w:tc>
          <w:tcPr>
            <w:tcW w:w="1559" w:type="dxa"/>
            <w:vAlign w:val="center"/>
          </w:tcPr>
          <w:p w14:paraId="38A392F5">
            <w:pPr>
              <w:spacing w:before="0" w:beforeLines="0"/>
              <w:ind w:firstLine="0" w:firstLineChars="0"/>
              <w:jc w:val="center"/>
              <w:rPr>
                <w:rFonts w:ascii="Cambria Math" w:hAnsi="Cambria Math"/>
                <w:szCs w:val="28"/>
              </w:rPr>
            </w:pPr>
            <w:r>
              <w:rPr>
                <w:rFonts w:hint="eastAsia" w:ascii="Cambria Math" w:hAnsi="Cambria Math"/>
                <w:szCs w:val="28"/>
              </w:rPr>
              <w:t>0</w:t>
            </w:r>
            <w:r>
              <w:rPr>
                <w:rFonts w:ascii="Cambria Math" w:hAnsi="Cambria Math"/>
                <w:szCs w:val="28"/>
              </w:rPr>
              <w:t>.58</w:t>
            </w:r>
          </w:p>
        </w:tc>
        <w:tc>
          <w:tcPr>
            <w:tcW w:w="1701" w:type="dxa"/>
            <w:vAlign w:val="center"/>
          </w:tcPr>
          <w:p w14:paraId="76499C6A">
            <w:pPr>
              <w:spacing w:before="0" w:beforeLines="0"/>
              <w:ind w:firstLine="0" w:firstLineChars="0"/>
              <w:jc w:val="center"/>
              <w:rPr>
                <w:rFonts w:ascii="Cambria Math" w:hAnsi="Cambria Math"/>
                <w:szCs w:val="28"/>
              </w:rPr>
            </w:pPr>
            <w:r>
              <w:rPr>
                <w:rFonts w:hint="eastAsia" w:ascii="Cambria Math" w:hAnsi="Cambria Math"/>
                <w:szCs w:val="28"/>
              </w:rPr>
              <w:t>0</w:t>
            </w:r>
            <w:r>
              <w:rPr>
                <w:rFonts w:ascii="Cambria Math" w:hAnsi="Cambria Math"/>
                <w:szCs w:val="28"/>
              </w:rPr>
              <w:t>.11</w:t>
            </w:r>
          </w:p>
        </w:tc>
        <w:tc>
          <w:tcPr>
            <w:tcW w:w="1224" w:type="dxa"/>
            <w:vAlign w:val="center"/>
          </w:tcPr>
          <w:p w14:paraId="01027F6E">
            <w:pPr>
              <w:spacing w:before="0" w:beforeLines="0"/>
              <w:ind w:firstLine="0" w:firstLineChars="0"/>
              <w:jc w:val="center"/>
              <w:rPr>
                <w:rFonts w:ascii="Cambria Math" w:hAnsi="Cambria Math"/>
                <w:szCs w:val="28"/>
              </w:rPr>
            </w:pPr>
            <w:r>
              <w:rPr>
                <w:rFonts w:hint="eastAsia" w:ascii="Cambria Math" w:hAnsi="Cambria Math"/>
                <w:szCs w:val="28"/>
              </w:rPr>
              <w:t>0</w:t>
            </w:r>
            <w:r>
              <w:rPr>
                <w:rFonts w:ascii="Cambria Math" w:hAnsi="Cambria Math"/>
                <w:szCs w:val="28"/>
              </w:rPr>
              <w:t>.2</w:t>
            </w:r>
            <w:r>
              <w:rPr>
                <w:rFonts w:hint="eastAsia" w:ascii="Cambria Math" w:hAnsi="Cambria Math"/>
                <w:szCs w:val="28"/>
              </w:rPr>
              <w:t>6</w:t>
            </w:r>
          </w:p>
        </w:tc>
      </w:tr>
      <w:tr w14:paraId="320DE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Align w:val="center"/>
          </w:tcPr>
          <w:p w14:paraId="2BE375F3">
            <w:pPr>
              <w:spacing w:before="0" w:beforeLines="0"/>
              <w:ind w:firstLine="0" w:firstLineChars="0"/>
              <w:jc w:val="center"/>
              <w:rPr>
                <w:rFonts w:ascii="Cambria Math" w:hAnsi="Cambria Math"/>
                <w:szCs w:val="28"/>
              </w:rPr>
            </w:pPr>
            <w:r>
              <w:rPr>
                <w:rFonts w:hint="eastAsia" w:ascii="Cambria Math" w:hAnsi="Cambria Math"/>
                <w:szCs w:val="28"/>
              </w:rPr>
              <w:t>《锻压手册》</w:t>
            </w:r>
          </w:p>
        </w:tc>
        <w:tc>
          <w:tcPr>
            <w:tcW w:w="1559" w:type="dxa"/>
            <w:vAlign w:val="center"/>
          </w:tcPr>
          <w:p w14:paraId="5030C125">
            <w:pPr>
              <w:spacing w:before="0" w:beforeLines="0"/>
              <w:ind w:firstLine="0" w:firstLineChars="0"/>
              <w:jc w:val="center"/>
              <w:rPr>
                <w:rFonts w:ascii="Cambria Math" w:hAnsi="Cambria Math"/>
                <w:szCs w:val="28"/>
              </w:rPr>
            </w:pPr>
            <w:r>
              <w:rPr>
                <w:rFonts w:ascii="Cambria Math" w:hAnsi="Cambria Math"/>
                <w:szCs w:val="28"/>
              </w:rPr>
              <w:t>0.50</w:t>
            </w:r>
          </w:p>
        </w:tc>
        <w:tc>
          <w:tcPr>
            <w:tcW w:w="1701" w:type="dxa"/>
            <w:vAlign w:val="center"/>
          </w:tcPr>
          <w:p w14:paraId="796E886C">
            <w:pPr>
              <w:spacing w:before="0" w:beforeLines="0"/>
              <w:ind w:firstLine="0" w:firstLineChars="0"/>
              <w:jc w:val="center"/>
              <w:rPr>
                <w:rFonts w:ascii="Cambria Math" w:hAnsi="Cambria Math"/>
                <w:szCs w:val="28"/>
              </w:rPr>
            </w:pPr>
            <w:r>
              <w:rPr>
                <w:rFonts w:ascii="Cambria Math" w:hAnsi="Cambria Math"/>
                <w:szCs w:val="28"/>
              </w:rPr>
              <w:t>--</w:t>
            </w:r>
          </w:p>
        </w:tc>
        <w:tc>
          <w:tcPr>
            <w:tcW w:w="1224" w:type="dxa"/>
            <w:vAlign w:val="center"/>
          </w:tcPr>
          <w:p w14:paraId="20748B3A">
            <w:pPr>
              <w:spacing w:before="0" w:beforeLines="0"/>
              <w:ind w:firstLine="0" w:firstLineChars="0"/>
              <w:jc w:val="center"/>
              <w:rPr>
                <w:rFonts w:ascii="Cambria Math" w:hAnsi="Cambria Math"/>
                <w:szCs w:val="28"/>
              </w:rPr>
            </w:pPr>
            <w:r>
              <w:rPr>
                <w:rFonts w:ascii="Cambria Math" w:hAnsi="Cambria Math"/>
                <w:szCs w:val="28"/>
              </w:rPr>
              <w:t>0.30</w:t>
            </w:r>
          </w:p>
        </w:tc>
      </w:tr>
    </w:tbl>
    <w:p w14:paraId="5AE7B7A2">
      <w:pPr>
        <w:spacing w:before="156"/>
        <w:ind w:firstLine="480"/>
      </w:pPr>
      <w:r>
        <w:rPr>
          <w:rFonts w:hint="eastAsia"/>
        </w:rPr>
        <w:t>对与模锻，需要考虑合模时的作用，结合上表给出的数值，从安全角度出发，选取回弹系数：对于模锻，</w:t>
      </w:r>
      <m:oMath>
        <m:r>
          <m:rPr/>
          <w:rPr>
            <w:rFonts w:hint="eastAsia" w:ascii="Cambria Math" w:hAnsi="Cambria Math"/>
          </w:rPr>
          <m:t>e</m:t>
        </m:r>
        <m:r>
          <m:rPr/>
          <w:rPr>
            <w:rFonts w:ascii="Cambria Math" w:hAnsi="Cambria Math"/>
          </w:rPr>
          <m:t>=</m:t>
        </m:r>
        <m:r>
          <m:rPr/>
          <w:rPr>
            <w:rFonts w:hint="eastAsia" w:ascii="Cambria Math" w:hAnsi="Cambria Math"/>
          </w:rPr>
          <m:t>0.58</m:t>
        </m:r>
      </m:oMath>
      <w:r>
        <w:rPr>
          <w:rFonts w:hint="eastAsia"/>
        </w:rPr>
        <w:t>；对于自由锻，</w:t>
      </w:r>
      <m:oMath>
        <m:r>
          <m:rPr/>
          <w:rPr>
            <w:rFonts w:hint="eastAsia" w:ascii="Cambria Math" w:hAnsi="Cambria Math"/>
          </w:rPr>
          <m:t>e</m:t>
        </m:r>
        <m:r>
          <m:rPr/>
          <w:rPr>
            <w:rFonts w:ascii="Cambria Math" w:hAnsi="Cambria Math"/>
          </w:rPr>
          <m:t>=</m:t>
        </m:r>
        <m:r>
          <m:rPr/>
          <w:rPr>
            <w:rFonts w:hint="eastAsia" w:ascii="Cambria Math" w:hAnsi="Cambria Math"/>
          </w:rPr>
          <m:t>0.25</m:t>
        </m:r>
      </m:oMath>
      <w:r>
        <w:rPr>
          <w:rFonts w:hint="eastAsia"/>
        </w:rPr>
        <w:t>。</w:t>
      </w:r>
    </w:p>
    <w:p w14:paraId="709E8C63">
      <w:pPr>
        <w:spacing w:before="156"/>
        <w:ind w:firstLine="480"/>
      </w:pPr>
      <w:r>
        <w:rPr>
          <w:rFonts w:hint="eastAsia"/>
        </w:rPr>
        <w:t>8</w:t>
      </w:r>
      <w:r>
        <w:t>.2.3 准确确定锤头打击瞬时的最大速度</w:t>
      </w:r>
      <m:oMath>
        <m:sSub>
          <m:sSubPr>
            <m:ctrlPr>
              <w:rPr>
                <w:rFonts w:ascii="Cambria Math" w:hAnsi="Cambria Math" w:cs="Times New Roman"/>
                <w:kern w:val="0"/>
                <w:szCs w:val="21"/>
              </w:rPr>
            </m:ctrlPr>
          </m:sSubPr>
          <m:e>
            <m:r>
              <m:rPr/>
              <w:rPr>
                <w:rFonts w:ascii="Cambria Math" w:hAnsi="Cambria Math" w:cs="Times New Roman"/>
                <w:kern w:val="0"/>
                <w:szCs w:val="21"/>
              </w:rPr>
              <m:t>v</m:t>
            </m:r>
            <m:ctrlPr>
              <w:rPr>
                <w:rFonts w:ascii="Cambria Math" w:hAnsi="Cambria Math" w:cs="Times New Roman"/>
                <w:kern w:val="0"/>
                <w:szCs w:val="21"/>
              </w:rPr>
            </m:ctrlPr>
          </m:e>
          <m:sub>
            <m:r>
              <m:rPr/>
              <w:rPr>
                <w:rFonts w:ascii="Cambria Math" w:hAnsi="Cambria Math" w:cs="Times New Roman"/>
                <w:kern w:val="0"/>
                <w:szCs w:val="21"/>
              </w:rPr>
              <m:t>o</m:t>
            </m:r>
            <m:ctrlPr>
              <w:rPr>
                <w:rFonts w:ascii="Cambria Math" w:hAnsi="Cambria Math" w:cs="Times New Roman"/>
                <w:kern w:val="0"/>
                <w:szCs w:val="21"/>
              </w:rPr>
            </m:ctrlPr>
          </m:sub>
        </m:sSub>
      </m:oMath>
      <w:r>
        <w:t>是计算振动响应的前提。本条提供了三种情况下</w:t>
      </w:r>
      <m:oMath>
        <m:sSub>
          <m:sSubPr>
            <m:ctrlPr>
              <w:rPr>
                <w:rFonts w:ascii="Cambria Math" w:hAnsi="Cambria Math" w:cs="Times New Roman"/>
                <w:kern w:val="0"/>
                <w:szCs w:val="21"/>
              </w:rPr>
            </m:ctrlPr>
          </m:sSubPr>
          <m:e>
            <m:r>
              <m:rPr/>
              <w:rPr>
                <w:rFonts w:ascii="Cambria Math" w:hAnsi="Cambria Math" w:cs="Times New Roman"/>
                <w:kern w:val="0"/>
                <w:szCs w:val="21"/>
              </w:rPr>
              <m:t>v</m:t>
            </m:r>
            <m:ctrlPr>
              <w:rPr>
                <w:rFonts w:ascii="Cambria Math" w:hAnsi="Cambria Math" w:cs="Times New Roman"/>
                <w:kern w:val="0"/>
                <w:szCs w:val="21"/>
              </w:rPr>
            </m:ctrlPr>
          </m:e>
          <m:sub>
            <m:r>
              <m:rPr/>
              <w:rPr>
                <w:rFonts w:ascii="Cambria Math" w:hAnsi="Cambria Math" w:cs="Times New Roman"/>
                <w:kern w:val="0"/>
                <w:szCs w:val="21"/>
              </w:rPr>
              <m:t>o</m:t>
            </m:r>
            <m:ctrlPr>
              <w:rPr>
                <w:rFonts w:ascii="Cambria Math" w:hAnsi="Cambria Math" w:cs="Times New Roman"/>
                <w:kern w:val="0"/>
                <w:szCs w:val="21"/>
              </w:rPr>
            </m:ctrlPr>
          </m:sub>
        </m:sSub>
      </m:oMath>
      <w:r>
        <w:t>的计算方法。</w:t>
      </w:r>
    </w:p>
    <w:p w14:paraId="0D7CB804">
      <w:pPr>
        <w:spacing w:before="156"/>
        <w:ind w:firstLine="480"/>
        <w:rPr>
          <w:kern w:val="0"/>
          <w:szCs w:val="24"/>
        </w:rPr>
      </w:pPr>
      <w:r>
        <w:t>单作用自由下落锤（公式8.2.3-1）：其动力仅来源于落下部分的势能。公式</w:t>
      </w:r>
      <w:r>
        <w:rPr>
          <w:kern w:val="0"/>
          <w:szCs w:val="24"/>
        </w:rPr>
        <w:t>中的0.9是考虑空气阻力、摩擦损失等因素的效率系数。</w:t>
      </w:r>
    </w:p>
    <w:p w14:paraId="04AC31AC">
      <w:pPr>
        <w:spacing w:before="156"/>
        <w:ind w:firstLine="480"/>
        <w:rPr>
          <w:kern w:val="0"/>
          <w:szCs w:val="24"/>
        </w:rPr>
      </w:pPr>
      <w:r>
        <w:t>双作用锤（公式8.2.3-2）：其下落过程除重力外，还受到气缸压力的加速作</w:t>
      </w:r>
      <w:r>
        <w:rPr>
          <w:kern w:val="0"/>
          <w:szCs w:val="24"/>
        </w:rPr>
        <w:t>用。公式反映了蒸汽或压缩空气动力与重力共同作用下的能量平衡关系。0.65是综合了气体膨胀做功效率、摩擦损失等的经验系数。</w:t>
      </w:r>
    </w:p>
    <w:p w14:paraId="5CFA3A25">
      <w:pPr>
        <w:spacing w:before="156"/>
        <w:ind w:firstLine="480"/>
      </w:pPr>
      <w:r>
        <w:t>已知打击能量E₀（公式8.2.3-3）：这是最直接和推荐的方法。公式由动能公式</w:t>
      </w:r>
      <m:oMath>
        <m:sSub>
          <m:sSubPr>
            <m:ctrlPr>
              <w:rPr>
                <w:rFonts w:ascii="Cambria Math" w:hAnsi="Cambria Math"/>
              </w:rPr>
            </m:ctrlPr>
          </m:sSubPr>
          <m:e>
            <m:r>
              <m:rPr/>
              <w:rPr>
                <w:rFonts w:ascii="Cambria Math" w:hAnsi="Cambria Math"/>
              </w:rPr>
              <m:t>E</m:t>
            </m:r>
            <m:ctrlPr>
              <w:rPr>
                <w:rFonts w:ascii="Cambria Math" w:hAnsi="Cambria Math"/>
              </w:rPr>
            </m:ctrlPr>
          </m:e>
          <m:sub>
            <m:r>
              <m:rPr/>
              <w:rPr>
                <w:rFonts w:ascii="Cambria Math" w:hAnsi="Cambria Math"/>
              </w:rPr>
              <m:t>0</m:t>
            </m:r>
            <m:ctrlPr>
              <w:rPr>
                <w:rFonts w:ascii="Cambria Math" w:hAnsi="Cambria Math"/>
              </w:rPr>
            </m:ctrlPr>
          </m:sub>
        </m:sSub>
        <m:r>
          <m:rPr/>
          <w:rPr>
            <w:rFonts w:ascii="Cambria Math" w:hAnsi="Cambria Math"/>
          </w:rPr>
          <m:t>=</m:t>
        </m:r>
        <m:f>
          <m:fPr>
            <m:ctrlPr>
              <w:rPr>
                <w:rFonts w:ascii="Cambria Math" w:hAnsi="Cambria Math"/>
                <w:i/>
              </w:rPr>
            </m:ctrlPr>
          </m:fPr>
          <m:num>
            <m:r>
              <m:rPr/>
              <w:rPr>
                <w:rFonts w:ascii="Cambria Math" w:hAnsi="Cambria Math"/>
              </w:rPr>
              <m:t>1</m:t>
            </m:r>
            <m:ctrlPr>
              <w:rPr>
                <w:rFonts w:ascii="Cambria Math" w:hAnsi="Cambria Math"/>
                <w:i/>
              </w:rPr>
            </m:ctrlPr>
          </m:num>
          <m:den>
            <m:r>
              <m:rPr/>
              <w:rPr>
                <w:rFonts w:ascii="Cambria Math" w:hAnsi="Cambria Math"/>
              </w:rPr>
              <m:t>2</m:t>
            </m:r>
            <m:ctrlPr>
              <w:rPr>
                <w:rFonts w:ascii="Cambria Math" w:hAnsi="Cambria Math"/>
                <w:i/>
              </w:rPr>
            </m:ctrlPr>
          </m:den>
        </m:f>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rPr>
              <m:t>0</m:t>
            </m:r>
            <m:ctrlPr>
              <w:rPr>
                <w:rFonts w:ascii="Cambria Math" w:hAnsi="Cambria Math"/>
                <w:i/>
              </w:rPr>
            </m:ctrlPr>
          </m:sub>
        </m:sSub>
        <m:sSubSup>
          <m:sSubSupPr>
            <m:ctrlPr>
              <w:rPr>
                <w:rFonts w:ascii="Cambria Math" w:hAnsi="Cambria Math"/>
                <w:i/>
              </w:rPr>
            </m:ctrlPr>
          </m:sSubSupPr>
          <m:e>
            <m:r>
              <m:rPr/>
              <w:rPr>
                <w:rFonts w:ascii="Cambria Math" w:hAnsi="Cambria Math"/>
              </w:rPr>
              <m:t>v</m:t>
            </m:r>
            <m:ctrlPr>
              <w:rPr>
                <w:rFonts w:ascii="Cambria Math" w:hAnsi="Cambria Math"/>
                <w:i/>
              </w:rPr>
            </m:ctrlPr>
          </m:e>
          <m:sub>
            <m:r>
              <m:rPr/>
              <w:rPr>
                <w:rFonts w:ascii="Cambria Math" w:hAnsi="Cambria Math"/>
              </w:rPr>
              <m:t>0</m:t>
            </m:r>
            <m:ctrlPr>
              <w:rPr>
                <w:rFonts w:ascii="Cambria Math" w:hAnsi="Cambria Math"/>
                <w:i/>
              </w:rPr>
            </m:ctrlPr>
          </m:sub>
          <m:sup>
            <m:r>
              <m:rPr/>
              <w:rPr>
                <w:rFonts w:ascii="Cambria Math" w:hAnsi="Cambria Math"/>
              </w:rPr>
              <m:t>2</m:t>
            </m:r>
            <m:ctrlPr>
              <w:rPr>
                <w:rFonts w:ascii="Cambria Math" w:hAnsi="Cambria Math"/>
                <w:i/>
              </w:rPr>
            </m:ctrlPr>
          </m:sup>
        </m:sSubSup>
      </m:oMath>
      <w:r>
        <w:t>推导而来，其中的2.2是考虑实际打击效率（并非全部动能都转化为使锻件变形的有效功，有一部分能量消耗于基础振动、设备变形等）而对理论公式的修正系数。设计中应优先采用设备制造商提供的额定最大打击能量</w:t>
      </w:r>
      <m:oMath>
        <m:sSub>
          <m:sSubPr>
            <m:ctrlPr>
              <w:rPr>
                <w:rFonts w:ascii="Cambria Math" w:hAnsi="Cambria Math"/>
              </w:rPr>
            </m:ctrlPr>
          </m:sSubPr>
          <m:e>
            <m:r>
              <m:rPr/>
              <w:rPr>
                <w:rFonts w:ascii="Cambria Math" w:hAnsi="Cambria Math"/>
              </w:rPr>
              <m:t>E</m:t>
            </m:r>
            <m:ctrlPr>
              <w:rPr>
                <w:rFonts w:ascii="Cambria Math" w:hAnsi="Cambria Math"/>
              </w:rPr>
            </m:ctrlPr>
          </m:e>
          <m:sub>
            <m:r>
              <m:rPr/>
              <w:rPr>
                <w:rFonts w:ascii="Cambria Math" w:hAnsi="Cambria Math"/>
              </w:rPr>
              <m:t>0</m:t>
            </m:r>
            <m:ctrlPr>
              <w:rPr>
                <w:rFonts w:ascii="Cambria Math" w:hAnsi="Cambria Math"/>
              </w:rPr>
            </m:ctrlPr>
          </m:sub>
        </m:sSub>
      </m:oMath>
      <w:r>
        <w:t>进行计算。</w:t>
      </w:r>
    </w:p>
    <w:p w14:paraId="18B8FC33">
      <w:pPr>
        <w:pStyle w:val="4"/>
        <w:spacing w:before="156"/>
      </w:pPr>
      <w:bookmarkStart w:id="76" w:name="_Toc206578590"/>
      <w:r>
        <w:t xml:space="preserve">8.3 </w:t>
      </w:r>
      <w:r>
        <w:rPr>
          <w:rFonts w:hint="eastAsia"/>
        </w:rPr>
        <w:t>数值分析</w:t>
      </w:r>
      <w:bookmarkEnd w:id="76"/>
    </w:p>
    <w:p w14:paraId="7FC83BE4">
      <w:pPr>
        <w:spacing w:before="156"/>
        <w:ind w:firstLine="480"/>
      </w:pPr>
      <w:r>
        <w:rPr>
          <w:rFonts w:hint="eastAsia"/>
        </w:rPr>
        <w:t>8</w:t>
      </w:r>
      <w:r>
        <w:t xml:space="preserve">.3.1 </w:t>
      </w:r>
      <w:r>
        <w:rPr>
          <w:rFonts w:hint="eastAsia"/>
        </w:rPr>
        <w:t>锻锤基础动力响应复杂，尤其是对于大型、特大型锻锤或地质条件复杂的情况，简化计算方法可能无法准确反映基础-地基系统的真实受力状态。本条规定推荐采用有限元法等数值分析方法，旨在更精确地模拟冲击荷载作用下基础与地基土的相互作用、材料非线性行为以及波动在土体中的传播，为设计提供更可靠依据。数值分析是对第8.2节简化计算方法的重要补充和验证。</w:t>
      </w:r>
    </w:p>
    <w:p w14:paraId="76CF82B1">
      <w:pPr>
        <w:spacing w:before="156"/>
        <w:ind w:firstLine="480"/>
      </w:pPr>
      <w:r>
        <w:t>8.3.2 本条明确了数值分析应解决的四大类工程问题：</w:t>
      </w:r>
    </w:p>
    <w:p w14:paraId="11D5B8CA">
      <w:pPr>
        <w:spacing w:before="156"/>
        <w:ind w:firstLine="480"/>
        <w:rPr>
          <w:kern w:val="0"/>
          <w:szCs w:val="24"/>
        </w:rPr>
      </w:pPr>
      <w:r>
        <w:t>验证简化结果：通过与8.2节经验公式结果对比，校核数值模型的正确性，</w:t>
      </w:r>
      <w:r>
        <w:rPr>
          <w:kern w:val="0"/>
          <w:szCs w:val="24"/>
        </w:rPr>
        <w:t>若差异显著（如超过15%），需排查模型参数、边界条件或本构关系的合理性。</w:t>
      </w:r>
    </w:p>
    <w:p w14:paraId="4F1ED3DB">
      <w:pPr>
        <w:spacing w:before="156"/>
        <w:ind w:firstLine="480"/>
        <w:rPr>
          <w:kern w:val="0"/>
          <w:szCs w:val="24"/>
        </w:rPr>
      </w:pPr>
      <w:r>
        <w:t>优化设计：通过参数化分析，寻找基础尺寸、配筋、埋深等的最优解，在安</w:t>
      </w:r>
      <w:r>
        <w:rPr>
          <w:kern w:val="0"/>
          <w:szCs w:val="24"/>
        </w:rPr>
        <w:t>全与经济之间取得平衡。</w:t>
      </w:r>
    </w:p>
    <w:p w14:paraId="6CB2546B">
      <w:pPr>
        <w:spacing w:before="156"/>
        <w:ind w:firstLine="480"/>
        <w:rPr>
          <w:kern w:val="0"/>
          <w:szCs w:val="24"/>
        </w:rPr>
      </w:pPr>
      <w:r>
        <w:t>评估复杂工况：针对软弱土层、液化土、分层不均地基等特殊条件，数值方</w:t>
      </w:r>
      <w:r>
        <w:rPr>
          <w:kern w:val="0"/>
          <w:szCs w:val="24"/>
        </w:rPr>
        <w:t>法能有效评估其对抗震、抗冲击性能的不利影响。</w:t>
      </w:r>
    </w:p>
    <w:p w14:paraId="105D813D">
      <w:pPr>
        <w:spacing w:before="156"/>
        <w:ind w:firstLine="480"/>
        <w:rPr>
          <w:kern w:val="0"/>
          <w:szCs w:val="24"/>
        </w:rPr>
      </w:pPr>
      <w:r>
        <w:t>预测振动响应：精确计算基础及周边场地的振动水平，是评估是否满足环境</w:t>
      </w:r>
      <w:r>
        <w:rPr>
          <w:kern w:val="0"/>
          <w:szCs w:val="24"/>
        </w:rPr>
        <w:t>振动标准（如GB 50868）的关键手段。</w:t>
      </w:r>
    </w:p>
    <w:p w14:paraId="7EC15B5D">
      <w:pPr>
        <w:spacing w:before="156"/>
        <w:ind w:firstLine="480"/>
      </w:pPr>
      <w:r>
        <w:rPr>
          <w:rFonts w:hint="eastAsia"/>
        </w:rPr>
        <w:t>8</w:t>
      </w:r>
      <w:r>
        <w:t>.3.3 锻锤冲击荷载具有瞬时、高幅值、短历时的特点，属于典型的瞬态动力学问题。分析软件必须具备高效的瞬态动力学求解器。显式积分算法（适用于求解高速冲击、大变形问题；隐式积分算法则适用于振动衰减过程的模拟。软件选择需根据具体问题特点和设计人员熟悉程度确定。</w:t>
      </w:r>
    </w:p>
    <w:p w14:paraId="45DBC3CB">
      <w:pPr>
        <w:spacing w:before="156"/>
        <w:ind w:firstLine="480"/>
      </w:pPr>
      <w:r>
        <w:rPr>
          <w:rFonts w:hint="eastAsia"/>
        </w:rPr>
        <w:t>8</w:t>
      </w:r>
      <w:r>
        <w:t>.3.4 本条对数值模型的建立提出了具体技术要求：</w:t>
      </w:r>
    </w:p>
    <w:p w14:paraId="1AF31578">
      <w:pPr>
        <w:spacing w:before="156"/>
        <w:ind w:firstLine="480"/>
        <w:rPr>
          <w:kern w:val="0"/>
          <w:szCs w:val="24"/>
        </w:rPr>
      </w:pPr>
      <w:r>
        <w:rPr>
          <w:rFonts w:hint="eastAsia"/>
        </w:rPr>
        <w:t>1</w:t>
      </w:r>
      <w:r>
        <w:t xml:space="preserve"> 基础模型：应采用实体单元精确模拟基础几何形状，设备质量以质量点或分</w:t>
      </w:r>
      <w:r>
        <w:rPr>
          <w:kern w:val="0"/>
          <w:szCs w:val="24"/>
        </w:rPr>
        <w:t>布质量形式施加在相应位置，确保质量、质心、转动惯量与实际一致。</w:t>
      </w:r>
    </w:p>
    <w:p w14:paraId="7A8B6472">
      <w:pPr>
        <w:spacing w:before="156"/>
        <w:ind w:firstLine="480"/>
        <w:rPr>
          <w:kern w:val="0"/>
          <w:szCs w:val="24"/>
        </w:rPr>
      </w:pPr>
      <w:r>
        <w:rPr>
          <w:rFonts w:hint="eastAsia"/>
        </w:rPr>
        <w:t>2</w:t>
      </w:r>
      <w:r>
        <w:t xml:space="preserve"> 地基模型：推荐采用“质量-弹簧-阻尼器”等效边界（如GB 50040附录方法）</w:t>
      </w:r>
      <w:r>
        <w:rPr>
          <w:kern w:val="0"/>
          <w:szCs w:val="24"/>
        </w:rPr>
        <w:t>或更精确的有限元-边界元耦合模型。对于远场振动传播分析，应采用无限元或粘弹性边界以模拟地基辐射阻尼，避免波反射失真。</w:t>
      </w:r>
    </w:p>
    <w:p w14:paraId="50997109">
      <w:pPr>
        <w:spacing w:before="156"/>
        <w:ind w:firstLine="480"/>
        <w:rPr>
          <w:kern w:val="0"/>
          <w:szCs w:val="24"/>
        </w:rPr>
      </w:pPr>
      <w:r>
        <w:rPr>
          <w:rFonts w:hint="eastAsia"/>
        </w:rPr>
        <w:t>3</w:t>
      </w:r>
      <w:r>
        <w:t xml:space="preserve"> 材料本构：混凝土应采用考虑开裂、压碎的非线性模型（如混凝土塑性损伤</w:t>
      </w:r>
      <w:r>
        <w:rPr>
          <w:kern w:val="0"/>
          <w:szCs w:val="24"/>
        </w:rPr>
        <w:t>模型）；地基土可采用等效线性或非线性模型（如Drucker-Prager模型），其动力参数（动剪切模量、阻尼比）应与应变水平相适应。</w:t>
      </w:r>
    </w:p>
    <w:p w14:paraId="2992376B">
      <w:pPr>
        <w:spacing w:before="156"/>
        <w:ind w:firstLine="480"/>
        <w:rPr>
          <w:kern w:val="0"/>
          <w:szCs w:val="24"/>
        </w:rPr>
      </w:pPr>
      <w:r>
        <w:rPr>
          <w:rFonts w:hint="eastAsia"/>
        </w:rPr>
        <w:t>4</w:t>
      </w:r>
      <w:r>
        <w:t xml:space="preserve"> 荷载输入：锻锤打击力应按第6.3节规定，选取合适的脉冲函数（如矩形脉</w:t>
      </w:r>
      <w:r>
        <w:rPr>
          <w:kern w:val="0"/>
          <w:szCs w:val="24"/>
        </w:rPr>
        <w:t>冲、正矢脉冲）并以力-时程曲线形式精确施加于砧座底部对应位置。</w:t>
      </w:r>
    </w:p>
    <w:p w14:paraId="3A852202">
      <w:pPr>
        <w:spacing w:before="156"/>
        <w:ind w:firstLine="480"/>
      </w:pPr>
      <w:r>
        <w:rPr>
          <w:rFonts w:hint="eastAsia"/>
        </w:rPr>
        <w:t>8.3.5</w:t>
      </w:r>
      <w:r>
        <w:t xml:space="preserve"> 推荐采用以下标准化分析流程以确保结果可靠性：</w:t>
      </w:r>
    </w:p>
    <w:p w14:paraId="207686C9">
      <w:pPr>
        <w:spacing w:before="156"/>
        <w:ind w:firstLine="480"/>
        <w:rPr>
          <w:kern w:val="0"/>
          <w:szCs w:val="24"/>
        </w:rPr>
      </w:pPr>
      <w:r>
        <w:t>静力分析：用于计算初始地应力场和自重引起的变形，为后续动力分析提供</w:t>
      </w:r>
      <w:r>
        <w:rPr>
          <w:kern w:val="0"/>
          <w:szCs w:val="24"/>
        </w:rPr>
        <w:t>初始状态，对于考虑土体非线性的分析尤为必要。</w:t>
      </w:r>
    </w:p>
    <w:p w14:paraId="7E1DA19C">
      <w:pPr>
        <w:spacing w:before="156"/>
        <w:ind w:firstLine="480"/>
        <w:rPr>
          <w:kern w:val="0"/>
          <w:szCs w:val="24"/>
        </w:rPr>
      </w:pPr>
      <w:r>
        <w:t>模态分析：用于获取基组的固有频率和振型，可与8.2.1条公式计算结果相</w:t>
      </w:r>
      <w:r>
        <w:rPr>
          <w:kern w:val="0"/>
          <w:szCs w:val="24"/>
        </w:rPr>
        <w:t>互验证，是判断模型动力特性是否合理的重要步骤。</w:t>
      </w:r>
    </w:p>
    <w:p w14:paraId="51CDE0A5">
      <w:pPr>
        <w:spacing w:before="156"/>
        <w:ind w:firstLine="480"/>
        <w:rPr>
          <w:kern w:val="0"/>
          <w:szCs w:val="24"/>
        </w:rPr>
      </w:pPr>
      <w:r>
        <w:t>瞬态动力分析：是核心计算环节。时间步长</w:t>
      </w:r>
      <m:oMath>
        <m:r>
          <m:rPr>
            <m:sty m:val="p"/>
          </m:rPr>
          <w:rPr>
            <w:rFonts w:ascii="Cambria Math" w:hAnsi="Cambria Math"/>
          </w:rPr>
          <m:t>∆</m:t>
        </m:r>
        <m:r>
          <m:rPr/>
          <w:rPr>
            <w:rFonts w:hint="eastAsia" w:ascii="Cambria Math" w:hAnsi="Cambria Math"/>
          </w:rPr>
          <m:t>t</m:t>
        </m:r>
      </m:oMath>
      <w:r>
        <w:t>必须足够小以满足精度和</w:t>
      </w:r>
      <w:r>
        <w:rPr>
          <w:kern w:val="0"/>
          <w:szCs w:val="24"/>
        </w:rPr>
        <w:t>稳定性要求，通常需满足</w:t>
      </w:r>
      <m:oMath>
        <m:r>
          <m:rPr>
            <m:sty m:val="p"/>
          </m:rPr>
          <w:rPr>
            <w:rFonts w:ascii="Cambria Math" w:hAnsi="Cambria Math"/>
          </w:rPr>
          <m:t>∆</m:t>
        </m:r>
        <m:r>
          <m:rPr/>
          <w:rPr>
            <w:rFonts w:hint="eastAsia" w:ascii="Cambria Math" w:hAnsi="Cambria Math"/>
          </w:rPr>
          <m:t>t</m:t>
        </m:r>
        <m:r>
          <m:rPr>
            <m:sty m:val="p"/>
          </m:rPr>
          <w:rPr>
            <w:rFonts w:ascii="Cambria Math" w:hAnsi="Cambria Math"/>
          </w:rPr>
          <m:t>≤</m:t>
        </m:r>
        <m:f>
          <m:fPr>
            <m:type m:val="skw"/>
            <m:ctrlPr>
              <w:rPr>
                <w:rFonts w:ascii="Cambria Math" w:hAnsi="Cambria Math"/>
                <w:i/>
              </w:rPr>
            </m:ctrlPr>
          </m:fPr>
          <m:num>
            <m:sSub>
              <m:sSubPr>
                <m:ctrlPr>
                  <w:rPr>
                    <w:rFonts w:ascii="Cambria Math" w:hAnsi="Cambria Math"/>
                  </w:rPr>
                </m:ctrlPr>
              </m:sSubPr>
              <m:e>
                <m:r>
                  <m:rPr/>
                  <w:rPr>
                    <w:rFonts w:ascii="Cambria Math" w:hAnsi="Cambria Math"/>
                  </w:rPr>
                  <m:t>t</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i/>
              </w:rPr>
            </m:ctrlPr>
          </m:num>
          <m:den>
            <m:r>
              <m:rPr/>
              <w:rPr>
                <w:rFonts w:ascii="Cambria Math" w:hAnsi="Cambria Math"/>
              </w:rPr>
              <m:t>10</m:t>
            </m:r>
            <m:ctrlPr>
              <w:rPr>
                <w:rFonts w:ascii="Cambria Math" w:hAnsi="Cambria Math"/>
                <w:i/>
              </w:rPr>
            </m:ctrlPr>
          </m:den>
        </m:f>
      </m:oMath>
      <w:r>
        <w:rPr>
          <w:kern w:val="0"/>
          <w:szCs w:val="24"/>
        </w:rPr>
        <w:t>（</w:t>
      </w:r>
      <m:oMath>
        <m:sSub>
          <m:sSubPr>
            <m:ctrlPr>
              <w:rPr>
                <w:rFonts w:ascii="Cambria Math" w:hAnsi="Cambria Math"/>
                <w:kern w:val="0"/>
                <w:szCs w:val="24"/>
              </w:rPr>
            </m:ctrlPr>
          </m:sSubPr>
          <m:e>
            <m:r>
              <m:rPr/>
              <w:rPr>
                <w:rFonts w:ascii="Cambria Math" w:hAnsi="Cambria Math"/>
                <w:kern w:val="0"/>
                <w:szCs w:val="24"/>
              </w:rPr>
              <m:t>T</m:t>
            </m:r>
            <m:ctrlPr>
              <w:rPr>
                <w:rFonts w:ascii="Cambria Math" w:hAnsi="Cambria Math"/>
                <w:kern w:val="0"/>
                <w:szCs w:val="24"/>
              </w:rPr>
            </m:ctrlPr>
          </m:e>
          <m:sub>
            <m:r>
              <m:rPr/>
              <w:rPr>
                <w:rFonts w:ascii="Cambria Math" w:hAnsi="Cambria Math"/>
                <w:kern w:val="0"/>
                <w:szCs w:val="24"/>
              </w:rPr>
              <m:t>p</m:t>
            </m:r>
            <m:ctrlPr>
              <w:rPr>
                <w:rFonts w:ascii="Cambria Math" w:hAnsi="Cambria Math"/>
                <w:kern w:val="0"/>
                <w:szCs w:val="24"/>
              </w:rPr>
            </m:ctrlPr>
          </m:sub>
        </m:sSub>
      </m:oMath>
      <w:r>
        <w:rPr>
          <w:kern w:val="0"/>
          <w:szCs w:val="24"/>
        </w:rPr>
        <w:t>为脉冲主周期）或</w:t>
      </w:r>
      <m:oMath>
        <m:r>
          <m:rPr>
            <m:sty m:val="p"/>
          </m:rPr>
          <w:rPr>
            <w:rFonts w:ascii="Cambria Math" w:hAnsi="Cambria Math"/>
          </w:rPr>
          <m:t>∆</m:t>
        </m:r>
        <m:r>
          <m:rPr/>
          <w:rPr>
            <w:rFonts w:hint="eastAsia" w:ascii="Cambria Math" w:hAnsi="Cambria Math"/>
          </w:rPr>
          <m:t>t</m:t>
        </m:r>
        <m:r>
          <m:rPr>
            <m:sty m:val="p"/>
          </m:rPr>
          <w:rPr>
            <w:rFonts w:ascii="Cambria Math" w:hAnsi="Cambria Math"/>
          </w:rPr>
          <m:t>≤</m:t>
        </m:r>
        <m:f>
          <m:fPr>
            <m:type m:val="skw"/>
            <m:ctrlPr>
              <w:rPr>
                <w:rFonts w:ascii="Cambria Math" w:hAnsi="Cambria Math"/>
                <w:i/>
              </w:rPr>
            </m:ctrlPr>
          </m:fPr>
          <m:num>
            <m:sSub>
              <m:sSubPr>
                <m:ctrlPr>
                  <w:rPr>
                    <w:rFonts w:ascii="Cambria Math" w:hAnsi="Cambria Math"/>
                  </w:rPr>
                </m:ctrlPr>
              </m:sSubPr>
              <m:e>
                <m:r>
                  <m:rPr/>
                  <w:rPr>
                    <w:rFonts w:ascii="Cambria Math" w:hAnsi="Cambria Math"/>
                  </w:rPr>
                  <m:t>T</m:t>
                </m:r>
                <m:ctrlPr>
                  <w:rPr>
                    <w:rFonts w:ascii="Cambria Math" w:hAnsi="Cambria Math"/>
                  </w:rPr>
                </m:ctrlPr>
              </m:e>
              <m:sub>
                <m:r>
                  <m:rPr/>
                  <w:rPr>
                    <w:rFonts w:ascii="Cambria Math" w:hAnsi="Cambria Math"/>
                  </w:rPr>
                  <m:t>min</m:t>
                </m:r>
                <m:ctrlPr>
                  <w:rPr>
                    <w:rFonts w:ascii="Cambria Math" w:hAnsi="Cambria Math"/>
                  </w:rPr>
                </m:ctrlPr>
              </m:sub>
            </m:sSub>
            <m:ctrlPr>
              <w:rPr>
                <w:rFonts w:ascii="Cambria Math" w:hAnsi="Cambria Math"/>
                <w:i/>
              </w:rPr>
            </m:ctrlPr>
          </m:num>
          <m:den>
            <m:r>
              <m:rPr/>
              <w:rPr>
                <w:rFonts w:ascii="Cambria Math" w:hAnsi="Cambria Math"/>
              </w:rPr>
              <m:t>20</m:t>
            </m:r>
            <m:ctrlPr>
              <w:rPr>
                <w:rFonts w:ascii="Cambria Math" w:hAnsi="Cambria Math"/>
                <w:i/>
              </w:rPr>
            </m:ctrlPr>
          </m:den>
        </m:f>
      </m:oMath>
      <w:r>
        <w:rPr>
          <w:kern w:val="0"/>
          <w:szCs w:val="24"/>
        </w:rPr>
        <w:t>（</w:t>
      </w:r>
      <w:r>
        <w:rPr>
          <w:rFonts w:hint="eastAsia"/>
          <w:kern w:val="0"/>
          <w:szCs w:val="24"/>
        </w:rPr>
        <w:t>这里</w:t>
      </w:r>
      <m:oMath>
        <m:sSub>
          <m:sSubPr>
            <m:ctrlPr>
              <w:rPr>
                <w:rFonts w:ascii="Cambria Math" w:hAnsi="Cambria Math"/>
              </w:rPr>
            </m:ctrlPr>
          </m:sSubPr>
          <m:e>
            <m:r>
              <m:rPr/>
              <w:rPr>
                <w:rFonts w:ascii="Cambria Math" w:hAnsi="Cambria Math"/>
              </w:rPr>
              <m:t>T</m:t>
            </m:r>
            <m:ctrlPr>
              <w:rPr>
                <w:rFonts w:ascii="Cambria Math" w:hAnsi="Cambria Math"/>
              </w:rPr>
            </m:ctrlPr>
          </m:e>
          <m:sub>
            <m:r>
              <m:rPr/>
              <w:rPr>
                <w:rFonts w:ascii="Cambria Math" w:hAnsi="Cambria Math"/>
              </w:rPr>
              <m:t>min</m:t>
            </m:r>
            <m:ctrlPr>
              <w:rPr>
                <w:rFonts w:ascii="Cambria Math" w:hAnsi="Cambria Math"/>
              </w:rPr>
            </m:ctrlPr>
          </m:sub>
        </m:sSub>
      </m:oMath>
      <w:r>
        <w:rPr>
          <w:kern w:val="0"/>
          <w:szCs w:val="24"/>
        </w:rPr>
        <w:t>为系统最小周期）。总分析时长应持续至振动响应充分衰减。</w:t>
      </w:r>
    </w:p>
    <w:p w14:paraId="62300743">
      <w:pPr>
        <w:spacing w:before="156"/>
        <w:ind w:firstLine="480"/>
        <w:rPr>
          <w:kern w:val="0"/>
          <w:szCs w:val="24"/>
        </w:rPr>
      </w:pPr>
      <w:r>
        <w:t>结果输出：应提取关键控制点（如基础顶面角点、砧座底部、邻近敏感点）</w:t>
      </w:r>
      <w:r>
        <w:rPr>
          <w:kern w:val="0"/>
          <w:szCs w:val="24"/>
        </w:rPr>
        <w:t>的位移、加速度、速度时程曲线以及基础内部的应力云图，作为设计和验算的依据。</w:t>
      </w:r>
    </w:p>
    <w:p w14:paraId="5B027186">
      <w:pPr>
        <w:spacing w:before="156"/>
        <w:ind w:firstLine="482"/>
      </w:pPr>
      <w:r>
        <w:rPr>
          <w:b/>
          <w:bCs/>
          <w:kern w:val="0"/>
          <w:szCs w:val="24"/>
        </w:rPr>
        <w:t xml:space="preserve">8.3.6 </w:t>
      </w:r>
      <w:r>
        <w:t>数值分析结果必须接受严格校验和评价：</w:t>
      </w:r>
    </w:p>
    <w:p w14:paraId="07CA181C">
      <w:pPr>
        <w:spacing w:before="156"/>
        <w:ind w:firstLine="480"/>
        <w:rPr>
          <w:kern w:val="0"/>
          <w:szCs w:val="24"/>
        </w:rPr>
      </w:pPr>
      <w:r>
        <w:rPr>
          <w:rFonts w:hint="eastAsia"/>
        </w:rPr>
        <w:t>1</w:t>
      </w:r>
      <w:r>
        <w:t xml:space="preserve"> 与简化法对比：若与8.2节简化公式结果差异超过15%，应优先怀疑数值模</w:t>
      </w:r>
      <w:r>
        <w:rPr>
          <w:kern w:val="0"/>
          <w:szCs w:val="24"/>
        </w:rPr>
        <w:t>型在参数取值、边界条件或荷载简化方面的误差，并进行复核。</w:t>
      </w:r>
    </w:p>
    <w:p w14:paraId="6F0B8DAF">
      <w:pPr>
        <w:spacing w:before="156"/>
        <w:ind w:firstLine="480"/>
        <w:rPr>
          <w:kern w:val="0"/>
          <w:szCs w:val="24"/>
        </w:rPr>
      </w:pPr>
      <w:r>
        <w:t>2 振动合规性：计算得到的振动位移与加速度峰值必须满足本标准第3.5节</w:t>
      </w:r>
      <w:r>
        <w:rPr>
          <w:kern w:val="0"/>
          <w:szCs w:val="24"/>
        </w:rPr>
        <w:t>的容许振动标准。否则，需调整基础设计方案（如增大质量、尺寸）或采用隔振措施。</w:t>
      </w:r>
    </w:p>
    <w:p w14:paraId="29477686">
      <w:pPr>
        <w:spacing w:before="156"/>
        <w:ind w:firstLine="480"/>
      </w:pPr>
      <w:r>
        <w:t>3 强度安全性：混凝土最大主应力应满足《混凝土结构设计标准》GB 50010的承载力要求。对应力集中区域（如砧座凹坑角部、地脚螺栓附近）应在配筋时予以加强。</w:t>
      </w:r>
    </w:p>
    <w:p w14:paraId="659AA3CA">
      <w:pPr>
        <w:spacing w:before="156"/>
        <w:ind w:firstLine="480"/>
      </w:pPr>
      <w:r>
        <w:rPr>
          <w:rFonts w:hint="eastAsia"/>
        </w:rPr>
        <w:t>8.3.7</w:t>
      </w:r>
      <w:r>
        <w:t xml:space="preserve"> 本条指出了三种需特别关注的复杂工况及其模拟方法：</w:t>
      </w:r>
    </w:p>
    <w:p w14:paraId="788A6AD3">
      <w:pPr>
        <w:spacing w:before="156"/>
        <w:ind w:firstLine="480"/>
      </w:pPr>
      <w:r>
        <w:rPr>
          <w:rFonts w:hint="eastAsia"/>
        </w:rPr>
        <w:t>1</w:t>
      </w:r>
      <w:r>
        <w:t xml:space="preserve"> 复杂地层：分层土应逐层定义动力参数。软弱夹层对振动有隔离和放大效应，应单独建模并考虑其非线性。</w:t>
      </w:r>
    </w:p>
    <w:p w14:paraId="713116D0">
      <w:pPr>
        <w:spacing w:before="156"/>
        <w:ind w:firstLine="480"/>
      </w:pPr>
      <w:r>
        <w:rPr>
          <w:rFonts w:hint="eastAsia"/>
        </w:rPr>
        <w:t>2</w:t>
      </w:r>
      <w:r>
        <w:t xml:space="preserve"> 多锤联动：对于连续打击，应采用多个荷载步模拟，其动力响应叠加效应应按第6.5.5条（荷载效应组合）的规定进行组合，以评估最不利状态。</w:t>
      </w:r>
    </w:p>
    <w:p w14:paraId="034514A4">
      <w:pPr>
        <w:spacing w:before="156"/>
        <w:ind w:firstLine="480"/>
      </w:pPr>
      <w:r>
        <w:rPr>
          <w:rFonts w:hint="eastAsia"/>
        </w:rPr>
        <w:t>3</w:t>
      </w:r>
      <w:r>
        <w:t xml:space="preserve"> 地震耦合：对于高烈度区的大型锻锤基础，需按《建筑抗震设计标准》GB 50011 要求，进行多遇地震作用下的时程分析，考虑冲击荷载与地震作用的可能组合。</w:t>
      </w:r>
    </w:p>
    <w:p w14:paraId="224AE136">
      <w:pPr>
        <w:spacing w:before="156"/>
        <w:ind w:firstLine="480"/>
      </w:pPr>
      <w:r>
        <w:rPr>
          <w:rFonts w:hint="eastAsia"/>
        </w:rPr>
        <w:t>8.3.8</w:t>
      </w:r>
      <w:r>
        <w:t xml:space="preserve"> </w:t>
      </w:r>
      <w:r>
        <w:rPr>
          <w:rFonts w:hint="eastAsia"/>
        </w:rPr>
        <w:t>数值分析计算书是设计文件的重要组成部分，应全面、清晰地记录分析过程与结论，供审查、校核和存档之用。其内容应具备可重现性，包括模型信息、参数取值、荷载条件、详细结果以及明确的是否满足规范要求的结论和优化建议。</w:t>
      </w:r>
    </w:p>
    <w:p w14:paraId="772016E2">
      <w:pPr>
        <w:spacing w:before="156"/>
        <w:ind w:firstLine="480"/>
      </w:pPr>
    </w:p>
    <w:p w14:paraId="2B1BC609">
      <w:pPr>
        <w:spacing w:before="156"/>
        <w:ind w:firstLine="480"/>
      </w:pPr>
    </w:p>
    <w:p w14:paraId="75ED11AD">
      <w:pPr>
        <w:spacing w:before="156"/>
        <w:ind w:firstLine="480"/>
      </w:pPr>
    </w:p>
    <w:p w14:paraId="0742F5EC">
      <w:pPr>
        <w:spacing w:before="156"/>
        <w:ind w:firstLine="480"/>
      </w:pPr>
    </w:p>
    <w:p w14:paraId="09D1D0F5">
      <w:pPr>
        <w:spacing w:before="156"/>
        <w:ind w:firstLine="480"/>
      </w:pPr>
    </w:p>
    <w:p w14:paraId="61DECAC4">
      <w:pPr>
        <w:spacing w:before="156"/>
        <w:ind w:firstLine="480"/>
      </w:pPr>
    </w:p>
    <w:p w14:paraId="4E0F7085">
      <w:pPr>
        <w:spacing w:before="156"/>
        <w:ind w:firstLine="480"/>
      </w:pPr>
    </w:p>
    <w:p w14:paraId="49156526">
      <w:pPr>
        <w:pageBreakBefore/>
        <w:spacing w:before="156" w:line="360" w:lineRule="auto"/>
        <w:ind w:firstLine="0" w:firstLineChars="0"/>
        <w:jc w:val="center"/>
        <w:outlineLvl w:val="1"/>
        <w:rPr>
          <w:rFonts w:eastAsia="微软雅黑" w:cstheme="majorBidi"/>
          <w:bCs/>
          <w:sz w:val="28"/>
          <w:szCs w:val="32"/>
        </w:rPr>
      </w:pPr>
      <w:bookmarkStart w:id="77" w:name="_Toc206578591"/>
      <w:r>
        <w:rPr>
          <w:rFonts w:eastAsia="微软雅黑" w:cstheme="majorBidi"/>
          <w:bCs/>
          <w:sz w:val="28"/>
          <w:szCs w:val="32"/>
        </w:rPr>
        <w:t xml:space="preserve">9 </w:t>
      </w:r>
      <w:r>
        <w:rPr>
          <w:rFonts w:hint="eastAsia" w:eastAsia="微软雅黑" w:cstheme="majorBidi"/>
          <w:bCs/>
          <w:sz w:val="28"/>
          <w:szCs w:val="32"/>
        </w:rPr>
        <w:t>隔振基础设计</w:t>
      </w:r>
      <w:bookmarkEnd w:id="77"/>
    </w:p>
    <w:p w14:paraId="54D62EA2">
      <w:pPr>
        <w:spacing w:before="156" w:line="240" w:lineRule="auto"/>
        <w:ind w:firstLine="0" w:firstLineChars="0"/>
        <w:jc w:val="center"/>
        <w:outlineLvl w:val="2"/>
        <w:rPr>
          <w:bCs/>
          <w:sz w:val="28"/>
          <w:szCs w:val="32"/>
        </w:rPr>
      </w:pPr>
      <w:bookmarkStart w:id="78" w:name="_Toc206578592"/>
      <w:r>
        <w:rPr>
          <w:bCs/>
          <w:sz w:val="28"/>
          <w:szCs w:val="32"/>
        </w:rPr>
        <w:t xml:space="preserve">9.1 </w:t>
      </w:r>
      <w:r>
        <w:rPr>
          <w:rFonts w:hint="eastAsia"/>
          <w:bCs/>
          <w:sz w:val="28"/>
          <w:szCs w:val="32"/>
        </w:rPr>
        <w:t>一般规定</w:t>
      </w:r>
      <w:bookmarkEnd w:id="78"/>
    </w:p>
    <w:p w14:paraId="770B4727">
      <w:pPr>
        <w:spacing w:before="156"/>
        <w:ind w:firstLine="480"/>
      </w:pPr>
      <w:r>
        <w:t>9.1.</w:t>
      </w:r>
      <w:r>
        <w:rPr>
          <w:rFonts w:hint="eastAsia"/>
        </w:rPr>
        <w:t>1</w:t>
      </w:r>
      <w:r>
        <w:t xml:space="preserve"> 本条明确了</w:t>
      </w:r>
      <w:r>
        <w:rPr>
          <w:rFonts w:hint="eastAsia"/>
        </w:rPr>
        <w:t>锻锤基础采用隔振技术设计方法的适用范围与隔振方案选择。锻锤基础隔振方案应根据锻锤的工艺类型和振动控制要求，来决定选取直接隔振或间接隔振。这两种隔振方案是锻锤隔振的两种基本形式。</w:t>
      </w:r>
    </w:p>
    <w:p w14:paraId="01761861">
      <w:pPr>
        <w:spacing w:before="156"/>
        <w:ind w:firstLine="480"/>
      </w:pPr>
      <w:r>
        <w:rPr>
          <w:rFonts w:hint="eastAsia"/>
        </w:rPr>
        <w:t>自由锻锤的工艺特点是打击能量大、工作频率较低且冲击作用显著，其振动能量主要通过基础向四周传播。间接隔振（即在基础配重块与基坑之间设置隔振器）能更有效地隔离振动向地基的传递，显著降低对周边环境和厂房结构的影响，因此作为推荐方案。</w:t>
      </w:r>
    </w:p>
    <w:p w14:paraId="3BCAA923">
      <w:pPr>
        <w:spacing w:before="156"/>
        <w:ind w:firstLine="480"/>
      </w:pPr>
      <w:r>
        <w:rPr>
          <w:rFonts w:hint="eastAsia"/>
        </w:rPr>
        <w:t>模锻锤的工艺相对连续，打击频率较高，但其振动控制目标通常更侧重于保证设备自身的精度和稳定性。直接隔振（即在锻锤设备与基础之间设置隔振器）结构相对简单，能有效控制传至设备的振动，在满足环境振动要求的前提下可优先采用。</w:t>
      </w:r>
    </w:p>
    <w:p w14:paraId="398612F3">
      <w:pPr>
        <w:spacing w:before="156"/>
        <w:ind w:firstLine="480"/>
      </w:pPr>
      <w:r>
        <w:rPr>
          <w:rFonts w:hint="eastAsia"/>
        </w:rPr>
        <w:t>隔振设计必须在满足锻锤工艺要求（如打击效率、设备稳定性）的前提下进行，并最终确保振动指标符合现行国家标准《建筑工程容许振动标准》GB 50868的规定。</w:t>
      </w:r>
    </w:p>
    <w:p w14:paraId="666FCDD9">
      <w:pPr>
        <w:spacing w:before="156"/>
        <w:ind w:firstLine="480"/>
      </w:pPr>
      <w:r>
        <w:rPr>
          <w:rFonts w:hint="eastAsia"/>
        </w:rPr>
        <w:t>9.1.2</w:t>
      </w:r>
      <w:r>
        <w:t xml:space="preserve"> </w:t>
      </w:r>
      <w:r>
        <w:rPr>
          <w:rFonts w:hint="eastAsia"/>
        </w:rPr>
        <w:t>本条规定了锻锤隔振基础设计应应遵循的总体原则：确保隔振系统安全、有效、耐久的基本要求。</w:t>
      </w:r>
    </w:p>
    <w:p w14:paraId="248272F5">
      <w:pPr>
        <w:spacing w:before="156"/>
        <w:ind w:firstLine="480"/>
      </w:pPr>
      <w:r>
        <w:rPr>
          <w:rFonts w:hint="eastAsia"/>
        </w:rPr>
        <w:t>1</w:t>
      </w:r>
      <w:r>
        <w:t xml:space="preserve"> </w:t>
      </w:r>
      <w:r>
        <w:rPr>
          <w:rFonts w:hint="eastAsia"/>
        </w:rPr>
        <w:t>隔振效率与功能保障：隔振系统的首要目标是降低振动传递率，但必须以保证锻锤的正常工艺功能为前提，不能因隔振元件的变形或阻尼过大而显著影响打击能量的有效传递和设备回程。</w:t>
      </w:r>
    </w:p>
    <w:p w14:paraId="59C5D472">
      <w:pPr>
        <w:spacing w:before="156"/>
        <w:ind w:firstLine="480"/>
      </w:pPr>
      <w:r>
        <w:rPr>
          <w:rFonts w:hint="eastAsia"/>
        </w:rPr>
        <w:t>2</w:t>
      </w:r>
      <w:r>
        <w:t xml:space="preserve"> </w:t>
      </w:r>
      <w:r>
        <w:rPr>
          <w:rFonts w:hint="eastAsia"/>
        </w:rPr>
        <w:t>隔振器选型：隔振器的性能参数（刚度、阻尼、疲劳寿命）需根据锻锤的冲击荷载特性、工作频率和环境条件（如温度、湿度、油污）进行综合比选，确保其长期工作的可靠性和稳定性。</w:t>
      </w:r>
    </w:p>
    <w:p w14:paraId="20BD02F2">
      <w:pPr>
        <w:spacing w:before="156"/>
        <w:ind w:firstLine="480"/>
      </w:pPr>
      <w:r>
        <w:rPr>
          <w:rFonts w:hint="eastAsia"/>
        </w:rPr>
        <w:t>3</w:t>
      </w:r>
      <w:r>
        <w:t xml:space="preserve"> </w:t>
      </w:r>
      <w:r>
        <w:rPr>
          <w:rFonts w:hint="eastAsia"/>
        </w:rPr>
        <w:t>结构设计要求：隔振基础除满足隔振要求外，其自身结构（如配重块、基坑）必须具有足够的强度、刚度和稳定性，以承受静荷载和巨大的冲击动力荷载，并保证长期的耐久性。</w:t>
      </w:r>
    </w:p>
    <w:p w14:paraId="7F67245D">
      <w:pPr>
        <w:spacing w:before="156"/>
        <w:ind w:firstLine="480"/>
      </w:pPr>
      <w:r>
        <w:rPr>
          <w:rFonts w:hint="eastAsia"/>
        </w:rPr>
        <w:t>4</w:t>
      </w:r>
      <w:r>
        <w:t xml:space="preserve"> </w:t>
      </w:r>
      <w:r>
        <w:rPr>
          <w:rFonts w:hint="eastAsia"/>
        </w:rPr>
        <w:t>避开共振要求：隔振系统的固有频率应远离锻锤的主要工作频率（通常为1-3Hz的砧座振动频率和更高的设备频率），避免发生共振放大效应。当系统具有足够的阻尼（ζ&gt; 0.15）时，可有效抑制共振峰，放宽对频率避让的严格要求。</w:t>
      </w:r>
    </w:p>
    <w:p w14:paraId="7E1BA609">
      <w:pPr>
        <w:spacing w:before="156"/>
        <w:ind w:firstLine="480"/>
      </w:pPr>
      <w:r>
        <w:rPr>
          <w:rFonts w:hint="eastAsia"/>
        </w:rPr>
        <w:t>5</w:t>
      </w:r>
      <w:r>
        <w:t xml:space="preserve"> </w:t>
      </w:r>
      <w:r>
        <w:rPr>
          <w:rFonts w:hint="eastAsia"/>
        </w:rPr>
        <w:t>安全限位设置：为防止在极端冲击或意外荷载（如偏击）下隔振器发生过大的位移或变形，必须设置可靠的限位装置，保护隔振器并维持系统的整体稳定性。</w:t>
      </w:r>
    </w:p>
    <w:p w14:paraId="7E994EA4">
      <w:pPr>
        <w:spacing w:before="156"/>
        <w:ind w:firstLine="480"/>
      </w:pPr>
      <w:r>
        <w:rPr>
          <w:rFonts w:hint="eastAsia"/>
        </w:rPr>
        <w:t>6</w:t>
      </w:r>
      <w:r>
        <w:t xml:space="preserve"> </w:t>
      </w:r>
      <w:r>
        <w:rPr>
          <w:rFonts w:hint="eastAsia"/>
        </w:rPr>
        <w:t>地基承载力折减：由于隔振系统有效地隔离了冲击荷载向地基的直接传递，地基承受的动力作用显著减小。因此，在进行地基承载力验算时，可考虑对动力折减系数进行优化，或参照本条说明，取较高的折减系数（如0.9），更充分地利用地基承载力，体现隔振带来的经济效益。</w:t>
      </w:r>
    </w:p>
    <w:p w14:paraId="1A4F7567">
      <w:pPr>
        <w:pStyle w:val="4"/>
        <w:spacing w:before="156"/>
      </w:pPr>
      <w:bookmarkStart w:id="79" w:name="_Toc206578593"/>
      <w:r>
        <w:rPr>
          <w:rFonts w:hint="eastAsia"/>
        </w:rPr>
        <w:t>9.2 技术方案</w:t>
      </w:r>
      <w:bookmarkEnd w:id="79"/>
      <w:r>
        <w:rPr>
          <w:rFonts w:hint="eastAsia"/>
        </w:rPr>
        <w:t xml:space="preserve"> </w:t>
      </w:r>
    </w:p>
    <w:p w14:paraId="45900CF3">
      <w:pPr>
        <w:spacing w:before="156"/>
        <w:ind w:firstLine="480"/>
      </w:pPr>
      <w:r>
        <w:t xml:space="preserve">9.2.1 </w:t>
      </w:r>
      <w:r>
        <w:rPr>
          <w:rFonts w:hint="eastAsia"/>
        </w:rPr>
        <w:t>本条规定了锻锤隔振基础的两种基本形式：直接隔振和间接隔振。直接隔振是将隔振器直接设置在设备底座与基础之间，结构简单，适用于中小型锻锤及振动控制要求不高的场合；间接隔振则是将隔振器设置在配重块与基坑之间，通过增加配重块质量来进一步提高隔振效果，适用于大型锻锤或对振动敏感的环境。设计时应根据锻锤类型、工艺要求及环境振动限值综合选用。</w:t>
      </w:r>
    </w:p>
    <w:p w14:paraId="53C7C39F">
      <w:pPr>
        <w:spacing w:before="156"/>
        <w:ind w:firstLine="480"/>
      </w:pPr>
      <w:r>
        <w:rPr>
          <w:rFonts w:hint="eastAsia"/>
        </w:rPr>
        <w:t>9.2.2</w:t>
      </w:r>
      <w:r>
        <w:t xml:space="preserve"> </w:t>
      </w:r>
      <w:r>
        <w:rPr>
          <w:rFonts w:hint="eastAsia"/>
        </w:rPr>
        <w:t>隔振方案的选择应综合考虑锻锤的规格、使用频率、场地条件及环境保护要求。中小型锻锤在无特殊防振要求时可选用直接隔振方案，结构简单、经济性好；对于锤头质量大于5t的大型锻锤或周边存在振动敏感设备、建筑时，应采用间接隔振方案，以确保振动传递率控制在允许范围内。</w:t>
      </w:r>
    </w:p>
    <w:p w14:paraId="4CCEBC6A">
      <w:pPr>
        <w:spacing w:before="156"/>
        <w:ind w:firstLine="480"/>
      </w:pPr>
      <w:r>
        <w:rPr>
          <w:rFonts w:hint="eastAsia"/>
        </w:rPr>
        <w:t>9.2.3</w:t>
      </w:r>
      <w:r>
        <w:t xml:space="preserve"> </w:t>
      </w:r>
      <w:r>
        <w:rPr>
          <w:rFonts w:hint="eastAsia"/>
        </w:rPr>
        <w:t>隔振系统应由弹性元件、阻尼元件和辅助结构三部分组成。弹性元件（如钢弹簧、橡胶隔振器等）提供必要的柔度，降低系统固有频率；阻尼元件（如黏滞阻尼器）抑制共振响应和冲击位移；辅助结构（如限位装置、防松螺栓等）则保障系统在异常荷载下的安全性和稳定性。各元件应协调设计，确保系统整体性能满足隔振要求。</w:t>
      </w:r>
    </w:p>
    <w:p w14:paraId="72CA8D36">
      <w:pPr>
        <w:spacing w:before="156"/>
        <w:ind w:firstLine="480"/>
      </w:pPr>
      <w:r>
        <w:rPr>
          <w:rFonts w:hint="eastAsia"/>
        </w:rPr>
        <w:t>9.2.4隔振基础设计是一个系统过程，隔振基础设计流程应包括以下内容：需明确隔振目标、选择合适隔振元件、进行动力参数计算，并最终验算隔振效果和结构安全性。设计时应与工艺、结构、地质等专业密切配合，确保隔振系统既满足锻锤工艺要求，又符合环境振动控制标准。</w:t>
      </w:r>
    </w:p>
    <w:p w14:paraId="080EB9A2">
      <w:pPr>
        <w:pStyle w:val="4"/>
        <w:spacing w:before="156"/>
      </w:pPr>
      <w:bookmarkStart w:id="80" w:name="_Toc206578594"/>
      <w:r>
        <w:rPr>
          <w:rFonts w:hint="eastAsia"/>
        </w:rPr>
        <w:t>9.</w:t>
      </w:r>
      <w:r>
        <w:t xml:space="preserve">3 </w:t>
      </w:r>
      <w:r>
        <w:rPr>
          <w:rFonts w:hint="eastAsia"/>
        </w:rPr>
        <w:t>经验公式</w:t>
      </w:r>
      <w:bookmarkEnd w:id="80"/>
      <w:r>
        <w:rPr>
          <w:rFonts w:hint="eastAsia"/>
        </w:rPr>
        <w:t xml:space="preserve">  </w:t>
      </w:r>
    </w:p>
    <w:p w14:paraId="1636C3E7">
      <w:pPr>
        <w:spacing w:before="156"/>
        <w:ind w:firstLine="480"/>
      </w:pPr>
      <w:r>
        <w:t>9.3.1 锻锤隔振基础振动分析的基本力学模型。将复杂的隔振系统简化为单自由度模型是基于工程实践的常用方法，其计算结果能满足大部分工程设计的精度要求。</w:t>
      </w:r>
    </w:p>
    <w:p w14:paraId="15F3BEC1">
      <w:pPr>
        <w:spacing w:before="156"/>
        <w:ind w:firstLine="480"/>
      </w:pPr>
      <w:r>
        <w:rPr>
          <w:rFonts w:hint="eastAsia"/>
        </w:rPr>
        <w:t>本小节采用的分析模型和计算公式是按照国家标准《工程隔振设计标准》GB50463-2019中，第4.3节第I锻锤部分的规定采用。具体规定如下：</w:t>
      </w:r>
    </w:p>
    <w:p w14:paraId="4E06435E">
      <w:pPr>
        <w:spacing w:before="156"/>
        <w:ind w:firstLine="480"/>
      </w:pPr>
      <w:r>
        <w:rPr>
          <w:rFonts w:hint="eastAsia"/>
        </w:rPr>
        <w:t>1</w:t>
      </w:r>
      <w:r>
        <w:t xml:space="preserve"> 在计算砧座振动时，由于隔振器的存在，下部基础传递上来的振动已被大幅衰减，因此可将基础视为相对不动的支承点，采用有阻尼单自由度模型（图9.3.1-1）计算砧座的振动响应是合理且偏于安全的。</w:t>
      </w:r>
    </w:p>
    <w:p w14:paraId="61534DCE">
      <w:pPr>
        <w:spacing w:before="156"/>
        <w:ind w:firstLine="480"/>
      </w:pPr>
      <w:r>
        <w:rPr>
          <w:rFonts w:hint="eastAsia"/>
        </w:rPr>
        <w:t>2</w:t>
      </w:r>
      <w:r>
        <w:t xml:space="preserve"> 在计算基础（或基坑）振动时，其振动能量主要来源于隔振器传递下来的力。该力相对于锻锤原始打击力已大大减小，且频率成分以隔振系统的固有频率为主。此时，将地基视为刚性基础，采用无阻尼单自由度模型（图9.3.1-2）计算基础的振动，重点评估其绝对位移响应，方法简便且概念清晰。</w:t>
      </w:r>
    </w:p>
    <w:p w14:paraId="6D6458C2">
      <w:pPr>
        <w:spacing w:before="156"/>
        <w:ind w:firstLine="480"/>
      </w:pPr>
      <w:r>
        <w:rPr>
          <w:rFonts w:hint="eastAsia"/>
        </w:rPr>
        <w:t>9.3.2</w:t>
      </w:r>
      <w:r>
        <w:t xml:space="preserve"> 本条对分析模型的假定进行了明确。将隔振器上部的基础块（或配重块）假定为刚性体，是基于其尺寸和质量远大于隔振器自身，其弹性变形对系统整体振动模态影响很小的考虑。此假定简化了计算，</w:t>
      </w:r>
      <w:r>
        <w:rPr>
          <w:rFonts w:hint="eastAsia"/>
        </w:rPr>
        <w:t>是一种工程近似方法</w:t>
      </w:r>
      <w:r>
        <w:t>。分析地基振动时，将隔振器底部对下部结构的反力作为“等效扰力”进行处理，是将上下部系统解耦分析的关键步骤，便于工程应用。</w:t>
      </w:r>
    </w:p>
    <w:p w14:paraId="61E568B9">
      <w:pPr>
        <w:spacing w:before="156"/>
        <w:ind w:firstLine="480"/>
      </w:pPr>
      <w:r>
        <w:rPr>
          <w:rFonts w:hint="eastAsia"/>
        </w:rPr>
        <w:t>9.3.3</w:t>
      </w:r>
      <w:r>
        <w:t xml:space="preserve"> 公式（9.3.3-1）至（9.3.3-3）是计算隔振器上部砧座振动位移的关键经验公式。</w:t>
      </w:r>
    </w:p>
    <w:p w14:paraId="38EF6B62">
      <w:pPr>
        <w:spacing w:before="156"/>
        <w:ind w:firstLine="480"/>
      </w:pPr>
      <w:r>
        <w:t>公式（9.3.3-1）物理意义明确：分子</w:t>
      </w:r>
      <m:oMath>
        <m:d>
          <m:dPr>
            <m:ctrlPr>
              <w:rPr>
                <w:rFonts w:ascii="Cambria Math" w:hAnsi="Cambria Math"/>
              </w:rPr>
            </m:ctrlPr>
          </m:dPr>
          <m:e>
            <m:r>
              <m:rPr/>
              <w:rPr>
                <w:rFonts w:hint="eastAsia" w:ascii="Cambria Math" w:hAnsi="Cambria Math"/>
              </w:rPr>
              <m:t>1+e</m:t>
            </m:r>
            <m:ctrlPr>
              <w:rPr>
                <w:rFonts w:ascii="Cambria Math" w:hAnsi="Cambria Math"/>
              </w:rPr>
            </m:ctrlPr>
          </m:e>
        </m:d>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rPr>
              <m:t>0</m:t>
            </m:r>
            <m:ctrlPr>
              <w:rPr>
                <w:rFonts w:ascii="Cambria Math" w:hAnsi="Cambria Math"/>
                <w:i/>
              </w:rPr>
            </m:ctrlPr>
          </m:sub>
        </m:sSub>
        <m:sSub>
          <m:sSubPr>
            <m:ctrlPr>
              <w:rPr>
                <w:rFonts w:ascii="Cambria Math" w:hAnsi="Cambria Math"/>
              </w:rPr>
            </m:ctrlPr>
          </m:sSubPr>
          <m:e>
            <m:r>
              <m:rPr/>
              <w:rPr>
                <w:rFonts w:ascii="Cambria Math" w:hAnsi="Cambria Math"/>
              </w:rPr>
              <m:t>v</m:t>
            </m:r>
            <m:ctrlPr>
              <w:rPr>
                <w:rFonts w:ascii="Cambria Math" w:hAnsi="Cambria Math"/>
              </w:rPr>
            </m:ctrlPr>
          </m:e>
          <m:sub>
            <m:r>
              <m:rPr/>
              <w:rPr>
                <w:rFonts w:ascii="Cambria Math" w:hAnsi="Cambria Math"/>
              </w:rPr>
              <m:t>0</m:t>
            </m:r>
            <m:ctrlPr>
              <w:rPr>
                <w:rFonts w:ascii="Cambria Math" w:hAnsi="Cambria Math"/>
              </w:rPr>
            </m:ctrlPr>
          </m:sub>
        </m:sSub>
      </m:oMath>
      <w:r>
        <w:t>代表了锻锤冲击产生的总动量（考虑回弹</w:t>
      </w:r>
      <w:r>
        <w:rPr>
          <w:rFonts w:hint="eastAsia"/>
        </w:rPr>
        <w:t>系数</w:t>
      </w:r>
      <w:r>
        <w:t>）；分母</w:t>
      </w:r>
      <m:oMath>
        <m:d>
          <m:dPr>
            <m:ctrlPr>
              <w:rPr>
                <w:rFonts w:ascii="Cambria Math" w:hAnsi="Cambria Math"/>
              </w:rPr>
            </m:ctrlPr>
          </m:dPr>
          <m:e>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rPr>
                  <m:t>0</m:t>
                </m:r>
                <m:ctrlPr>
                  <w:rPr>
                    <w:rFonts w:ascii="Cambria Math" w:hAnsi="Cambria Math"/>
                    <w:i/>
                  </w:rPr>
                </m:ctrlPr>
              </m:sub>
            </m:sSub>
            <m:r>
              <m:rPr/>
              <w:rPr>
                <w:rFonts w:hint="eastAsia" w:ascii="Cambria Math" w:hAnsi="Cambria Math"/>
              </w:rPr>
              <m:t>+m</m:t>
            </m:r>
            <m:ctrlPr>
              <w:rPr>
                <w:rFonts w:ascii="Cambria Math" w:hAnsi="Cambria Math"/>
              </w:rPr>
            </m:ctrlPr>
          </m:e>
        </m:d>
        <m:sSub>
          <m:sSubPr>
            <m:ctrlPr>
              <w:rPr>
                <w:rFonts w:ascii="Cambria Math" w:hAnsi="Cambria Math"/>
                <w:i/>
              </w:rPr>
            </m:ctrlPr>
          </m:sSubPr>
          <m:e>
            <m:r>
              <m:rPr/>
              <w:rPr>
                <w:rFonts w:ascii="Cambria Math" w:hAnsi="Cambria Math"/>
              </w:rPr>
              <m:t>ω</m:t>
            </m:r>
            <m:ctrlPr>
              <w:rPr>
                <w:rFonts w:ascii="Cambria Math" w:hAnsi="Cambria Math"/>
                <w:i/>
              </w:rPr>
            </m:ctrlPr>
          </m:e>
          <m:sub>
            <m:r>
              <m:rPr/>
              <w:rPr>
                <w:rFonts w:ascii="Cambria Math" w:hAnsi="Cambria Math"/>
              </w:rPr>
              <m:t>n</m:t>
            </m:r>
            <m:ctrlPr>
              <w:rPr>
                <w:rFonts w:ascii="Cambria Math" w:hAnsi="Cambria Math"/>
                <w:i/>
              </w:rPr>
            </m:ctrlPr>
          </m:sub>
        </m:sSub>
      </m:oMath>
      <w:r>
        <w:t>代表了系统总质量与固有圆频率的乘积，反映了系统的惯性。指数衰减项</w:t>
      </w:r>
      <m:oMath>
        <m:r>
          <m:rPr>
            <m:sty m:val="p"/>
          </m:rPr>
          <w:rPr>
            <w:rFonts w:ascii="Cambria Math" w:hAnsi="Cambria Math"/>
          </w:rPr>
          <m:t>exp</m:t>
        </m:r>
        <m:d>
          <m:dPr>
            <m:ctrlPr>
              <w:rPr>
                <w:rFonts w:ascii="Cambria Math" w:hAnsi="Cambria Math"/>
              </w:rPr>
            </m:ctrlPr>
          </m:dPr>
          <m:e>
            <m:r>
              <m:rPr/>
              <w:rPr>
                <w:rFonts w:ascii="Cambria Math" w:hAnsi="Cambria Math"/>
              </w:rPr>
              <m:t>−</m:t>
            </m:r>
            <m:sSub>
              <m:sSubPr>
                <m:ctrlPr>
                  <w:rPr>
                    <w:rFonts w:ascii="Cambria Math" w:hAnsi="Cambria Math"/>
                    <w:i/>
                  </w:rPr>
                </m:ctrlPr>
              </m:sSubPr>
              <m:e>
                <m:r>
                  <m:rPr/>
                  <w:rPr>
                    <w:rFonts w:ascii="Cambria Math" w:hAnsi="Cambria Math"/>
                  </w:rPr>
                  <m:t>ζ</m:t>
                </m:r>
                <m:ctrlPr>
                  <w:rPr>
                    <w:rFonts w:ascii="Cambria Math" w:hAnsi="Cambria Math"/>
                    <w:i/>
                  </w:rPr>
                </m:ctrlPr>
              </m:e>
              <m:sub>
                <m:r>
                  <m:rPr/>
                  <w:rPr>
                    <w:rFonts w:ascii="Cambria Math" w:hAnsi="Cambria Math"/>
                  </w:rPr>
                  <m:t>z</m:t>
                </m:r>
                <m:ctrlPr>
                  <w:rPr>
                    <w:rFonts w:ascii="Cambria Math" w:hAnsi="Cambria Math"/>
                    <w:i/>
                  </w:rPr>
                </m:ctrlPr>
              </m:sub>
            </m:sSub>
            <m:r>
              <m:rPr/>
              <w:rPr>
                <w:rFonts w:ascii="Cambria Math" w:hAnsi="Cambria Math"/>
              </w:rPr>
              <m:t>π/2</m:t>
            </m:r>
            <m:ctrlPr>
              <w:rPr>
                <w:rFonts w:ascii="Cambria Math" w:hAnsi="Cambria Math"/>
              </w:rPr>
            </m:ctrlPr>
          </m:e>
        </m:d>
      </m:oMath>
      <w:r>
        <w:t>则体现了阻尼对峰值响应的抑制作用。</w:t>
      </w:r>
    </w:p>
    <w:p w14:paraId="53F750D6">
      <w:pPr>
        <w:spacing w:before="156"/>
        <w:ind w:firstLine="480"/>
      </w:pPr>
      <w:r>
        <w:t>回弹系数</w:t>
      </w:r>
      <m:oMath>
        <m:r>
          <m:rPr/>
          <w:rPr>
            <w:rFonts w:hint="eastAsia" w:ascii="Cambria Math" w:hAnsi="Cambria Math"/>
          </w:rPr>
          <m:t>e</m:t>
        </m:r>
      </m:oMath>
      <w:r>
        <w:t>的取值直接影响了计算结果。根据第8.2.2条的编制说明，模锻取0.5，自由锻取0.25，锻打有色金属时能量吸收完全，取0，是基于大量工程实践和文献数据确定的经验值。</w:t>
      </w:r>
    </w:p>
    <w:p w14:paraId="51E51176">
      <w:pPr>
        <w:spacing w:before="156"/>
        <w:ind w:firstLine="480"/>
      </w:pPr>
      <w:r>
        <w:t>该公式适用于估算隔振系统在一次冲击下的最大瞬态响应，是评估锻锤自身工作稳定性和隔振器上部结构安全的重要依据。</w:t>
      </w:r>
    </w:p>
    <w:p w14:paraId="2DEEF0F4">
      <w:pPr>
        <w:pStyle w:val="4"/>
        <w:spacing w:before="156"/>
      </w:pPr>
      <w:bookmarkStart w:id="81" w:name="_Toc206578595"/>
      <w:r>
        <w:rPr>
          <w:rFonts w:hint="eastAsia"/>
        </w:rPr>
        <w:t>9.4</w:t>
      </w:r>
      <w:r>
        <w:t xml:space="preserve"> </w:t>
      </w:r>
      <w:r>
        <w:rPr>
          <w:rFonts w:hint="eastAsia"/>
        </w:rPr>
        <w:t>振动理论分析</w:t>
      </w:r>
      <w:bookmarkEnd w:id="81"/>
      <w:r>
        <w:rPr>
          <w:rFonts w:hint="eastAsia"/>
        </w:rPr>
        <w:t xml:space="preserve">  </w:t>
      </w:r>
    </w:p>
    <w:p w14:paraId="070AFA4D">
      <w:pPr>
        <w:spacing w:before="156"/>
        <w:ind w:firstLine="480"/>
      </w:pPr>
      <w:r>
        <w:t>9.</w:t>
      </w:r>
      <w:r>
        <w:rPr>
          <w:rFonts w:hint="eastAsia"/>
        </w:rPr>
        <w:t>4</w:t>
      </w:r>
      <w:r>
        <w:t xml:space="preserve">.1 </w:t>
      </w:r>
      <w:r>
        <w:rPr>
          <w:rFonts w:hint="eastAsia"/>
        </w:rPr>
        <w:t>本节提供的理论分析方法是隔振基础设计的核心计算手段，其目的是在设计和优化阶段，通过简化模型预测系统的动力响应，确保隔振方案在理论上满足第9.4.1条规定的三项基本要求，为后续的详细数值仿真和实验验证提供依据和方向。</w:t>
      </w:r>
      <w:r>
        <w:t>锻锤隔振基础设计必须满足的三项核心性能指标。</w:t>
      </w:r>
    </w:p>
    <w:p w14:paraId="4B311152">
      <w:pPr>
        <w:spacing w:before="156"/>
        <w:ind w:firstLine="480"/>
      </w:pPr>
      <w:r>
        <w:rPr>
          <w:rFonts w:hint="eastAsia"/>
        </w:rPr>
        <w:t>1</w:t>
      </w:r>
      <w:r>
        <w:t xml:space="preserve"> 振动控制：是隔振设计的首要目标，需同时保证隔振器上部（设备）和下部的振动均在容许限值内。</w:t>
      </w:r>
    </w:p>
    <w:p w14:paraId="34725D38">
      <w:pPr>
        <w:spacing w:before="156"/>
        <w:ind w:firstLine="480"/>
      </w:pPr>
      <w:r>
        <w:t>2 振动衰减要求：规定砧座在下一次打击前应停止振动，是为了避免多次打击产生的振动叠加，确保锻锤的打击精度和工艺稳定性。若振动未衰减完全，将影响工件的成型质量。</w:t>
      </w:r>
    </w:p>
    <w:p w14:paraId="226EEC6F">
      <w:pPr>
        <w:spacing w:before="156"/>
        <w:ind w:firstLine="480"/>
      </w:pPr>
      <w:r>
        <w:rPr>
          <w:rFonts w:hint="eastAsia"/>
        </w:rPr>
        <w:t>3</w:t>
      </w:r>
      <w:r>
        <w:t xml:space="preserve"> 隔振器工作状态：要求隔振器上部质量不与隔振器分离，是保证隔振系统正常工作、避免出现冲击碰撞的基本条件。一旦发生分离，将产生极大的冲击荷载，可能损坏设备和隔振器。</w:t>
      </w:r>
    </w:p>
    <w:p w14:paraId="5C54FF9E">
      <w:pPr>
        <w:spacing w:before="156"/>
        <w:ind w:firstLine="480"/>
      </w:pPr>
      <w:r>
        <w:rPr>
          <w:rFonts w:hint="eastAsia"/>
        </w:rPr>
        <w:t>9</w:t>
      </w:r>
      <w:r>
        <w:t xml:space="preserve">.4.2 </w:t>
      </w:r>
      <w:r>
        <w:rPr>
          <w:rFonts w:hint="eastAsia"/>
        </w:rPr>
        <w:t>将复杂的锻锤-隔振器-基础-地基系统简化为图9.4.2所示的两自由度模型，是进行理论分析的基础。</w:t>
      </w:r>
    </w:p>
    <w:p w14:paraId="0F0B9DC9">
      <w:pPr>
        <w:spacing w:before="156"/>
        <w:ind w:firstLine="480"/>
      </w:pPr>
      <w:r>
        <w:rPr>
          <w:rFonts w:hint="eastAsia"/>
        </w:rPr>
        <w:t>配重质量</w:t>
      </w:r>
      <m:oMath>
        <m:sSub>
          <m:sSubPr>
            <m:ctrlPr>
              <w:rPr>
                <w:rFonts w:ascii="Cambria Math" w:hAnsi="Cambria Math" w:cs="MS Gothic" w:eastAsiaTheme="minorEastAsia"/>
              </w:rPr>
            </m:ctrlPr>
          </m:sSubPr>
          <m:e>
            <m:r>
              <m:rPr/>
              <w:rPr>
                <w:rFonts w:ascii="Cambria Math" w:hAnsi="Cambria Math" w:cs="MS Gothic" w:eastAsiaTheme="minorEastAsia"/>
              </w:rPr>
              <m:t>m</m:t>
            </m:r>
            <m:ctrlPr>
              <w:rPr>
                <w:rFonts w:ascii="Cambria Math" w:hAnsi="Cambria Math" w:cs="MS Gothic" w:eastAsiaTheme="minorEastAsia"/>
              </w:rPr>
            </m:ctrlPr>
          </m:e>
          <m:sub>
            <m:r>
              <m:rPr/>
              <w:rPr>
                <w:rFonts w:ascii="Cambria Math" w:hAnsi="Cambria Math" w:cs="MS Gothic" w:eastAsiaTheme="minorEastAsia"/>
              </w:rPr>
              <m:t>1</m:t>
            </m:r>
            <m:ctrlPr>
              <w:rPr>
                <w:rFonts w:ascii="Cambria Math" w:hAnsi="Cambria Math" w:cs="MS Gothic" w:eastAsiaTheme="minorEastAsia"/>
              </w:rPr>
            </m:ctrlPr>
          </m:sub>
        </m:sSub>
      </m:oMath>
      <w:r>
        <w:rPr>
          <w:rFonts w:hint="eastAsia"/>
        </w:rPr>
        <w:t>：代表隔振器上部的设备、砧座及配重块的总质量，是承受锻锤冲击的直接质量。</w:t>
      </w:r>
    </w:p>
    <w:p w14:paraId="64B488B3">
      <w:pPr>
        <w:spacing w:before="156"/>
        <w:ind w:firstLine="480"/>
      </w:pPr>
      <w:r>
        <w:rPr>
          <w:rFonts w:hint="eastAsia"/>
        </w:rPr>
        <w:t>基坑质量</w:t>
      </w:r>
      <m:oMath>
        <m:sSub>
          <m:sSubPr>
            <m:ctrlPr>
              <w:rPr>
                <w:rFonts w:ascii="Cambria Math" w:hAnsi="Cambria Math" w:cs="MS Gothic" w:eastAsiaTheme="minorEastAsia"/>
              </w:rPr>
            </m:ctrlPr>
          </m:sSubPr>
          <m:e>
            <m:r>
              <m:rPr/>
              <w:rPr>
                <w:rFonts w:ascii="Cambria Math" w:hAnsi="Cambria Math" w:cs="MS Gothic" w:eastAsiaTheme="minorEastAsia"/>
              </w:rPr>
              <m:t>m</m:t>
            </m:r>
            <m:ctrlPr>
              <w:rPr>
                <w:rFonts w:ascii="Cambria Math" w:hAnsi="Cambria Math" w:cs="MS Gothic" w:eastAsiaTheme="minorEastAsia"/>
              </w:rPr>
            </m:ctrlPr>
          </m:e>
          <m:sub>
            <m:r>
              <m:rPr/>
              <w:rPr>
                <w:rFonts w:hint="eastAsia" w:ascii="Cambria Math" w:hAnsi="Cambria Math" w:cs="MS Gothic" w:eastAsiaTheme="minorEastAsia"/>
              </w:rPr>
              <m:t>2</m:t>
            </m:r>
            <m:ctrlPr>
              <w:rPr>
                <w:rFonts w:ascii="Cambria Math" w:hAnsi="Cambria Math" w:cs="MS Gothic" w:eastAsiaTheme="minorEastAsia"/>
              </w:rPr>
            </m:ctrlPr>
          </m:sub>
        </m:sSub>
      </m:oMath>
      <w:r>
        <w:rPr>
          <w:rFonts w:hint="eastAsia"/>
        </w:rPr>
        <w:t>：代表隔振器下部的基坑及其内部填土的总质量，是振动向地基传播的源质量。</w:t>
      </w:r>
    </w:p>
    <w:p w14:paraId="5F304F66">
      <w:pPr>
        <w:spacing w:before="156"/>
        <w:ind w:firstLine="480"/>
      </w:pPr>
      <w:r>
        <w:rPr>
          <w:rFonts w:hint="eastAsia"/>
        </w:rPr>
        <w:t>弹簧</w:t>
      </w:r>
      <m:oMath>
        <m:sSub>
          <m:sSubPr>
            <m:ctrlPr>
              <w:rPr>
                <w:rStyle w:val="57"/>
                <w:rFonts w:ascii="Cambria Math" w:hAnsi="Cambria Math" w:cs="Times New Roman"/>
                <w:bCs/>
                <w:iCs/>
                <w:color w:val="404040"/>
                <w:szCs w:val="24"/>
              </w:rPr>
            </m:ctrlPr>
          </m:sSubPr>
          <m:e>
            <m:r>
              <m:rPr/>
              <w:rPr>
                <w:rStyle w:val="57"/>
                <w:rFonts w:ascii="Cambria Math" w:hAnsi="Cambria Math" w:cs="Times New Roman"/>
                <w:color w:val="404040"/>
                <w:szCs w:val="24"/>
              </w:rPr>
              <m:t>k</m:t>
            </m:r>
            <m:ctrlPr>
              <w:rPr>
                <w:rStyle w:val="57"/>
                <w:rFonts w:ascii="Cambria Math" w:hAnsi="Cambria Math" w:cs="Times New Roman"/>
                <w:bCs/>
                <w:iCs/>
                <w:color w:val="404040"/>
                <w:szCs w:val="24"/>
              </w:rPr>
            </m:ctrlPr>
          </m:e>
          <m:sub>
            <m:r>
              <m:rPr/>
              <w:rPr>
                <w:rStyle w:val="57"/>
                <w:rFonts w:hint="eastAsia" w:ascii="Cambria Math" w:hAnsi="Cambria Math" w:cs="Times New Roman"/>
                <w:color w:val="404040"/>
                <w:szCs w:val="24"/>
              </w:rPr>
              <m:t>1</m:t>
            </m:r>
            <m:ctrlPr>
              <w:rPr>
                <w:rStyle w:val="57"/>
                <w:rFonts w:ascii="Cambria Math" w:hAnsi="Cambria Math" w:cs="Times New Roman"/>
                <w:bCs/>
                <w:iCs/>
                <w:color w:val="404040"/>
                <w:szCs w:val="24"/>
              </w:rPr>
            </m:ctrlPr>
          </m:sub>
        </m:sSub>
      </m:oMath>
      <w:r>
        <w:rPr>
          <w:rFonts w:hint="eastAsia"/>
        </w:rPr>
        <w:t>与阻尼</w:t>
      </w:r>
      <m:oMath>
        <m:sSub>
          <m:sSubPr>
            <m:ctrlPr>
              <w:rPr>
                <w:rStyle w:val="57"/>
                <w:rFonts w:ascii="Cambria Math" w:hAnsi="Cambria Math" w:cs="Times New Roman"/>
                <w:bCs/>
                <w:iCs/>
                <w:color w:val="404040"/>
                <w:szCs w:val="24"/>
              </w:rPr>
            </m:ctrlPr>
          </m:sSubPr>
          <m:e>
            <m:r>
              <m:rPr/>
              <w:rPr>
                <w:rStyle w:val="57"/>
                <w:rFonts w:hint="eastAsia" w:ascii="Cambria Math" w:hAnsi="Cambria Math" w:cs="Times New Roman"/>
                <w:color w:val="404040"/>
                <w:szCs w:val="24"/>
              </w:rPr>
              <m:t>c</m:t>
            </m:r>
            <m:ctrlPr>
              <w:rPr>
                <w:rStyle w:val="57"/>
                <w:rFonts w:ascii="Cambria Math" w:hAnsi="Cambria Math" w:cs="Times New Roman"/>
                <w:bCs/>
                <w:iCs/>
                <w:color w:val="404040"/>
                <w:szCs w:val="24"/>
              </w:rPr>
            </m:ctrlPr>
          </m:e>
          <m:sub>
            <m:r>
              <m:rPr/>
              <w:rPr>
                <w:rStyle w:val="57"/>
                <w:rFonts w:hint="eastAsia" w:ascii="Cambria Math" w:hAnsi="Cambria Math" w:cs="Times New Roman"/>
                <w:color w:val="404040"/>
                <w:szCs w:val="24"/>
              </w:rPr>
              <m:t>1</m:t>
            </m:r>
            <m:ctrlPr>
              <w:rPr>
                <w:rStyle w:val="57"/>
                <w:rFonts w:ascii="Cambria Math" w:hAnsi="Cambria Math" w:cs="Times New Roman"/>
                <w:bCs/>
                <w:iCs/>
                <w:color w:val="404040"/>
                <w:szCs w:val="24"/>
              </w:rPr>
            </m:ctrlPr>
          </m:sub>
        </m:sSub>
      </m:oMath>
      <w:r>
        <w:rPr>
          <w:rFonts w:hint="eastAsia"/>
        </w:rPr>
        <w:t>：代表隔振器系统的总刚度和阻尼。</w:t>
      </w:r>
    </w:p>
    <w:p w14:paraId="7E3DCF9D">
      <w:pPr>
        <w:spacing w:before="156"/>
        <w:ind w:firstLine="480"/>
      </w:pPr>
      <w:r>
        <w:rPr>
          <w:rFonts w:hint="eastAsia"/>
        </w:rPr>
        <w:t>弹簧</w:t>
      </w:r>
      <m:oMath>
        <m:sSub>
          <m:sSubPr>
            <m:ctrlPr>
              <w:rPr>
                <w:rStyle w:val="57"/>
                <w:rFonts w:ascii="Cambria Math" w:hAnsi="Cambria Math" w:cs="Times New Roman"/>
                <w:bCs/>
                <w:iCs/>
                <w:color w:val="404040"/>
                <w:szCs w:val="24"/>
              </w:rPr>
            </m:ctrlPr>
          </m:sSubPr>
          <m:e>
            <m:r>
              <m:rPr/>
              <w:rPr>
                <w:rStyle w:val="57"/>
                <w:rFonts w:ascii="Cambria Math" w:hAnsi="Cambria Math" w:cs="Times New Roman"/>
                <w:color w:val="404040"/>
                <w:szCs w:val="24"/>
              </w:rPr>
              <m:t>k</m:t>
            </m:r>
            <m:ctrlPr>
              <w:rPr>
                <w:rStyle w:val="57"/>
                <w:rFonts w:ascii="Cambria Math" w:hAnsi="Cambria Math" w:cs="Times New Roman"/>
                <w:bCs/>
                <w:iCs/>
                <w:color w:val="404040"/>
                <w:szCs w:val="24"/>
              </w:rPr>
            </m:ctrlPr>
          </m:e>
          <m:sub>
            <m:r>
              <m:rPr/>
              <w:rPr>
                <w:rStyle w:val="57"/>
                <w:rFonts w:ascii="Cambria Math" w:hAnsi="Cambria Math" w:cs="Times New Roman"/>
                <w:color w:val="404040"/>
                <w:szCs w:val="24"/>
              </w:rPr>
              <m:t>2</m:t>
            </m:r>
            <m:ctrlPr>
              <w:rPr>
                <w:rStyle w:val="57"/>
                <w:rFonts w:ascii="Cambria Math" w:hAnsi="Cambria Math" w:cs="Times New Roman"/>
                <w:bCs/>
                <w:iCs/>
                <w:color w:val="404040"/>
                <w:szCs w:val="24"/>
              </w:rPr>
            </m:ctrlPr>
          </m:sub>
        </m:sSub>
      </m:oMath>
      <w:r>
        <w:rPr>
          <w:rFonts w:hint="eastAsia"/>
        </w:rPr>
        <w:t>与阻尼</w:t>
      </w:r>
      <m:oMath>
        <m:sSub>
          <m:sSubPr>
            <m:ctrlPr>
              <w:rPr>
                <w:rStyle w:val="57"/>
                <w:rFonts w:ascii="Cambria Math" w:hAnsi="Cambria Math" w:cs="Times New Roman"/>
                <w:bCs/>
                <w:iCs/>
                <w:color w:val="404040"/>
                <w:szCs w:val="24"/>
              </w:rPr>
            </m:ctrlPr>
          </m:sSubPr>
          <m:e>
            <m:r>
              <m:rPr/>
              <w:rPr>
                <w:rStyle w:val="57"/>
                <w:rFonts w:hint="eastAsia" w:ascii="Cambria Math" w:hAnsi="Cambria Math" w:cs="Times New Roman"/>
                <w:color w:val="404040"/>
                <w:szCs w:val="24"/>
              </w:rPr>
              <m:t>c</m:t>
            </m:r>
            <m:ctrlPr>
              <w:rPr>
                <w:rStyle w:val="57"/>
                <w:rFonts w:ascii="Cambria Math" w:hAnsi="Cambria Math" w:cs="Times New Roman"/>
                <w:bCs/>
                <w:iCs/>
                <w:color w:val="404040"/>
                <w:szCs w:val="24"/>
              </w:rPr>
            </m:ctrlPr>
          </m:e>
          <m:sub>
            <m:r>
              <m:rPr/>
              <w:rPr>
                <w:rStyle w:val="57"/>
                <w:rFonts w:ascii="Cambria Math" w:hAnsi="Cambria Math" w:cs="Times New Roman"/>
                <w:color w:val="404040"/>
                <w:szCs w:val="24"/>
              </w:rPr>
              <m:t>2</m:t>
            </m:r>
            <m:ctrlPr>
              <w:rPr>
                <w:rStyle w:val="57"/>
                <w:rFonts w:ascii="Cambria Math" w:hAnsi="Cambria Math" w:cs="Times New Roman"/>
                <w:bCs/>
                <w:iCs/>
                <w:color w:val="404040"/>
                <w:szCs w:val="24"/>
              </w:rPr>
            </m:ctrlPr>
          </m:sub>
        </m:sSub>
      </m:oMath>
      <w:r>
        <w:rPr>
          <w:rFonts w:hint="eastAsia"/>
        </w:rPr>
        <w:t>：代表基坑下地基土的等效刚度和阻尼。</w:t>
      </w:r>
    </w:p>
    <w:p w14:paraId="068587AB">
      <w:pPr>
        <w:spacing w:before="156"/>
        <w:ind w:firstLine="480"/>
      </w:pPr>
      <w:r>
        <w:rPr>
          <w:rFonts w:hint="eastAsia"/>
        </w:rPr>
        <w:t>该模型能清晰地反映冲击能量在“设备-隔振器-基础-地基”路径中的传递与衰减过程，适用于初步设计和方案对比。</w:t>
      </w:r>
    </w:p>
    <w:p w14:paraId="30F75B42">
      <w:pPr>
        <w:spacing w:before="156"/>
        <w:ind w:firstLine="480"/>
      </w:pPr>
      <w:r>
        <w:rPr>
          <w:rFonts w:hint="eastAsia"/>
        </w:rPr>
        <w:t>9</w:t>
      </w:r>
      <w:r>
        <w:t>.4.3 该方程组是基于达朗贝尔原理建立的两自由度系统受迫振动方程。</w:t>
      </w:r>
    </w:p>
    <w:p w14:paraId="1C74D24A">
      <w:pPr>
        <w:spacing w:before="156"/>
        <w:ind w:firstLine="480"/>
      </w:pPr>
      <w:r>
        <w:t>第一个方程描述了质量</w:t>
      </w:r>
      <m:oMath>
        <m:sSub>
          <m:sSubPr>
            <m:ctrlPr>
              <w:rPr>
                <w:rFonts w:ascii="Cambria Math" w:hAnsi="Cambria Math" w:cs="MS Gothic" w:eastAsiaTheme="minorEastAsia"/>
              </w:rPr>
            </m:ctrlPr>
          </m:sSubPr>
          <m:e>
            <m:r>
              <m:rPr/>
              <w:rPr>
                <w:rFonts w:ascii="Cambria Math" w:hAnsi="Cambria Math" w:cs="MS Gothic" w:eastAsiaTheme="minorEastAsia"/>
              </w:rPr>
              <m:t>m</m:t>
            </m:r>
            <m:ctrlPr>
              <w:rPr>
                <w:rFonts w:ascii="Cambria Math" w:hAnsi="Cambria Math" w:cs="MS Gothic" w:eastAsiaTheme="minorEastAsia"/>
              </w:rPr>
            </m:ctrlPr>
          </m:e>
          <m:sub>
            <m:r>
              <m:rPr/>
              <w:rPr>
                <w:rFonts w:ascii="Cambria Math" w:hAnsi="Cambria Math" w:cs="MS Gothic" w:eastAsiaTheme="minorEastAsia"/>
              </w:rPr>
              <m:t>1</m:t>
            </m:r>
            <m:ctrlPr>
              <w:rPr>
                <w:rFonts w:ascii="Cambria Math" w:hAnsi="Cambria Math" w:cs="MS Gothic" w:eastAsiaTheme="minorEastAsia"/>
              </w:rPr>
            </m:ctrlPr>
          </m:sub>
        </m:sSub>
      </m:oMath>
      <w:r>
        <w:t>（上部设备）在锻锤打击力</w:t>
      </w:r>
      <m:oMath>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z</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oMath>
      <w:r>
        <w:t>和来自隔振器（</w:t>
      </w:r>
      <m:oMath>
        <m:sSub>
          <m:sSubPr>
            <m:ctrlPr>
              <w:rPr>
                <w:rFonts w:ascii="Cambria Math" w:hAnsi="Cambria Math"/>
                <w:bCs/>
                <w:iCs/>
              </w:rPr>
            </m:ctrlPr>
          </m:sSubPr>
          <m:e>
            <m:r>
              <m:rPr/>
              <w:rPr>
                <w:rFonts w:ascii="Cambria Math" w:hAnsi="Cambria Math"/>
              </w:rPr>
              <m:t>k</m:t>
            </m:r>
            <m:ctrlPr>
              <w:rPr>
                <w:rFonts w:ascii="Cambria Math" w:hAnsi="Cambria Math"/>
                <w:bCs/>
                <w:iCs/>
              </w:rPr>
            </m:ctrlPr>
          </m:e>
          <m:sub>
            <m:r>
              <m:rPr/>
              <w:rPr>
                <w:rFonts w:hint="eastAsia" w:ascii="Cambria Math" w:hAnsi="Cambria Math"/>
              </w:rPr>
              <m:t>1</m:t>
            </m:r>
            <m:ctrlPr>
              <w:rPr>
                <w:rFonts w:ascii="Cambria Math" w:hAnsi="Cambria Math"/>
                <w:bCs/>
                <w:iCs/>
              </w:rPr>
            </m:ctrlPr>
          </m:sub>
        </m:sSub>
        <m:r>
          <m:rPr>
            <m:sty m:val="p"/>
          </m:rPr>
          <w:rPr>
            <w:rFonts w:hint="eastAsia" w:ascii="Cambria Math" w:hAnsi="Cambria Math"/>
          </w:rPr>
          <m:t>，</m:t>
        </m:r>
        <m:sSub>
          <m:sSubPr>
            <m:ctrlPr>
              <w:rPr>
                <w:rFonts w:ascii="Cambria Math" w:hAnsi="Cambria Math"/>
                <w:bCs/>
                <w:iCs/>
              </w:rPr>
            </m:ctrlPr>
          </m:sSubPr>
          <m:e>
            <m:r>
              <m:rPr/>
              <w:rPr>
                <w:rFonts w:hint="eastAsia" w:ascii="Cambria Math" w:hAnsi="Cambria Math"/>
              </w:rPr>
              <m:t>c</m:t>
            </m:r>
            <m:ctrlPr>
              <w:rPr>
                <w:rFonts w:ascii="Cambria Math" w:hAnsi="Cambria Math"/>
                <w:bCs/>
                <w:iCs/>
              </w:rPr>
            </m:ctrlPr>
          </m:e>
          <m:sub>
            <m:r>
              <m:rPr/>
              <w:rPr>
                <w:rFonts w:hint="eastAsia" w:ascii="Cambria Math" w:hAnsi="Cambria Math"/>
              </w:rPr>
              <m:t>1</m:t>
            </m:r>
            <m:ctrlPr>
              <w:rPr>
                <w:rFonts w:ascii="Cambria Math" w:hAnsi="Cambria Math"/>
                <w:bCs/>
                <w:iCs/>
              </w:rPr>
            </m:ctrlPr>
          </m:sub>
        </m:sSub>
      </m:oMath>
      <w:r>
        <w:t>）及地基（</w:t>
      </w:r>
      <m:oMath>
        <m:sSub>
          <m:sSubPr>
            <m:ctrlPr>
              <w:rPr>
                <w:rFonts w:ascii="Cambria Math" w:hAnsi="Cambria Math"/>
                <w:bCs/>
                <w:iCs/>
              </w:rPr>
            </m:ctrlPr>
          </m:sSubPr>
          <m:e>
            <m:r>
              <m:rPr/>
              <w:rPr>
                <w:rFonts w:ascii="Cambria Math" w:hAnsi="Cambria Math"/>
              </w:rPr>
              <m:t>k</m:t>
            </m:r>
            <m:ctrlPr>
              <w:rPr>
                <w:rFonts w:ascii="Cambria Math" w:hAnsi="Cambria Math"/>
                <w:bCs/>
                <w:iCs/>
              </w:rPr>
            </m:ctrlPr>
          </m:e>
          <m:sub>
            <m:r>
              <m:rPr/>
              <w:rPr>
                <w:rFonts w:hint="eastAsia" w:ascii="Cambria Math" w:hAnsi="Cambria Math"/>
              </w:rPr>
              <m:t>2</m:t>
            </m:r>
            <m:ctrlPr>
              <w:rPr>
                <w:rFonts w:ascii="Cambria Math" w:hAnsi="Cambria Math"/>
                <w:bCs/>
                <w:iCs/>
              </w:rPr>
            </m:ctrlPr>
          </m:sub>
        </m:sSub>
        <m:r>
          <m:rPr>
            <m:sty m:val="p"/>
          </m:rPr>
          <w:rPr>
            <w:rFonts w:hint="eastAsia" w:ascii="Cambria Math" w:hAnsi="Cambria Math"/>
          </w:rPr>
          <m:t>，</m:t>
        </m:r>
        <m:sSub>
          <m:sSubPr>
            <m:ctrlPr>
              <w:rPr>
                <w:rFonts w:ascii="Cambria Math" w:hAnsi="Cambria Math"/>
                <w:bCs/>
                <w:iCs/>
              </w:rPr>
            </m:ctrlPr>
          </m:sSubPr>
          <m:e>
            <m:r>
              <m:rPr/>
              <w:rPr>
                <w:rFonts w:hint="eastAsia" w:ascii="Cambria Math" w:hAnsi="Cambria Math"/>
              </w:rPr>
              <m:t>c</m:t>
            </m:r>
            <m:ctrlPr>
              <w:rPr>
                <w:rFonts w:ascii="Cambria Math" w:hAnsi="Cambria Math"/>
                <w:bCs/>
                <w:iCs/>
              </w:rPr>
            </m:ctrlPr>
          </m:e>
          <m:sub>
            <m:r>
              <m:rPr/>
              <w:rPr>
                <w:rFonts w:hint="eastAsia" w:ascii="Cambria Math" w:hAnsi="Cambria Math"/>
              </w:rPr>
              <m:t>2</m:t>
            </m:r>
            <m:ctrlPr>
              <w:rPr>
                <w:rFonts w:ascii="Cambria Math" w:hAnsi="Cambria Math"/>
                <w:bCs/>
                <w:iCs/>
              </w:rPr>
            </m:ctrlPr>
          </m:sub>
        </m:sSub>
      </m:oMath>
      <w:r>
        <w:t>）的反力共同作用下的运动。</w:t>
      </w:r>
    </w:p>
    <w:p w14:paraId="48B41628">
      <w:pPr>
        <w:spacing w:before="156"/>
        <w:ind w:firstLine="480"/>
      </w:pPr>
      <w:r>
        <w:t>第二个方程描述了质量</w:t>
      </w:r>
      <m:oMath>
        <m:sSub>
          <m:sSubPr>
            <m:ctrlPr>
              <w:rPr>
                <w:rFonts w:ascii="Cambria Math" w:hAnsi="Cambria Math" w:cs="MS Gothic" w:eastAsiaTheme="minorEastAsia"/>
              </w:rPr>
            </m:ctrlPr>
          </m:sSubPr>
          <m:e>
            <m:r>
              <m:rPr/>
              <w:rPr>
                <w:rFonts w:ascii="Cambria Math" w:hAnsi="Cambria Math" w:cs="MS Gothic" w:eastAsiaTheme="minorEastAsia"/>
              </w:rPr>
              <m:t>m</m:t>
            </m:r>
            <m:ctrlPr>
              <w:rPr>
                <w:rFonts w:ascii="Cambria Math" w:hAnsi="Cambria Math" w:cs="MS Gothic" w:eastAsiaTheme="minorEastAsia"/>
              </w:rPr>
            </m:ctrlPr>
          </m:e>
          <m:sub>
            <m:r>
              <m:rPr/>
              <w:rPr>
                <w:rFonts w:hint="eastAsia" w:ascii="Cambria Math" w:hAnsi="Cambria Math" w:cs="MS Gothic" w:eastAsiaTheme="minorEastAsia"/>
              </w:rPr>
              <m:t>2</m:t>
            </m:r>
            <m:ctrlPr>
              <w:rPr>
                <w:rFonts w:ascii="Cambria Math" w:hAnsi="Cambria Math" w:cs="MS Gothic" w:eastAsiaTheme="minorEastAsia"/>
              </w:rPr>
            </m:ctrlPr>
          </m:sub>
        </m:sSub>
      </m:oMath>
      <w:r>
        <w:t>（下部基坑）在受到来自上部质量通过隔振器传递的力作用下的运动。该方程是进行隔振系统动力响应解析计算或数值求解的基础。</w:t>
      </w:r>
    </w:p>
    <w:p w14:paraId="01F999FB">
      <w:pPr>
        <w:spacing w:before="156"/>
        <w:ind w:firstLine="480"/>
      </w:pPr>
      <w:r>
        <w:rPr>
          <w:rFonts w:hint="eastAsia"/>
        </w:rPr>
        <w:t>9.4.4</w:t>
      </w:r>
      <w:r>
        <w:t xml:space="preserve"> </w:t>
      </w:r>
      <w:r>
        <w:rPr>
          <w:rFonts w:hint="eastAsia"/>
        </w:rPr>
        <w:t>根据上述运动微分方程，锻锤隔振基础动力分析宜采用下列两种方法求解：</w:t>
      </w:r>
    </w:p>
    <w:p w14:paraId="5F94D4B9">
      <w:pPr>
        <w:spacing w:before="156"/>
        <w:ind w:firstLine="480"/>
      </w:pPr>
      <w:r>
        <w:rPr>
          <w:rFonts w:hint="eastAsia"/>
        </w:rPr>
        <w:t>1</w:t>
      </w:r>
      <w:r>
        <w:t xml:space="preserve"> </w:t>
      </w:r>
      <w:r>
        <w:rPr>
          <w:rFonts w:hint="eastAsia"/>
        </w:rPr>
        <w:t>振型分解法：适用于线性系统。通过求解系统的无阻尼固有频率和振型，将耦合的方程组解耦为两个独立的单自由度方程，分别求解后再叠加，从而得到系统的总响应。该方法概念清晰，计算效率较高。</w:t>
      </w:r>
    </w:p>
    <w:p w14:paraId="1124EDFD">
      <w:pPr>
        <w:spacing w:before="156"/>
        <w:ind w:firstLine="480"/>
      </w:pPr>
      <w:r>
        <w:rPr>
          <w:rFonts w:hint="eastAsia"/>
        </w:rPr>
        <w:t>2</w:t>
      </w:r>
      <w:r>
        <w:t xml:space="preserve"> </w:t>
      </w:r>
      <w:r>
        <w:rPr>
          <w:rFonts w:hint="eastAsia"/>
        </w:rPr>
        <w:t>线性加速度积分法（如Newmark-β法）：是一种直接积分法，特别适用于求解瞬态冲击响应。该方法逐步积分计算系统的位移、速度和加速度时程，对非线性和时变系统也有较好的适应性，是数值仿真中常用的方法。</w:t>
      </w:r>
    </w:p>
    <w:p w14:paraId="74DE4B3A">
      <w:pPr>
        <w:pStyle w:val="4"/>
        <w:spacing w:before="156"/>
        <w:rPr>
          <w:color w:val="000000" w:themeColor="text1"/>
          <w14:textFill>
            <w14:solidFill>
              <w14:schemeClr w14:val="tx1"/>
            </w14:solidFill>
          </w14:textFill>
        </w:rPr>
      </w:pPr>
      <w:bookmarkStart w:id="82" w:name="_Toc206578596"/>
      <w:r>
        <w:rPr>
          <w:rFonts w:hint="eastAsia"/>
          <w:color w:val="000000" w:themeColor="text1"/>
          <w14:textFill>
            <w14:solidFill>
              <w14:schemeClr w14:val="tx1"/>
            </w14:solidFill>
          </w14:textFill>
        </w:rPr>
        <w:t>9.5 数值仿真</w:t>
      </w:r>
      <w:bookmarkEnd w:id="82"/>
    </w:p>
    <w:p w14:paraId="348DC94A">
      <w:pPr>
        <w:spacing w:before="156"/>
        <w:ind w:firstLine="480"/>
        <w:rPr>
          <w:color w:val="000000" w:themeColor="text1"/>
          <w14:textFill>
            <w14:solidFill>
              <w14:schemeClr w14:val="tx1"/>
            </w14:solidFill>
          </w14:textFill>
        </w:rPr>
      </w:pPr>
      <w:r>
        <w:rPr>
          <w:color w:val="000000" w:themeColor="text1"/>
          <w14:textFill>
            <w14:solidFill>
              <w14:schemeClr w14:val="tx1"/>
            </w14:solidFill>
          </w14:textFill>
        </w:rPr>
        <w:t>9.</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在锻锤隔振基础设计中，采用数值仿真方法应符合下列原则、内容和要求。对于大型、复杂或对振动控制要求极高的锻锤基础，仅依靠经验公式或简化理论分析可能难以准确预测其动力响应和隔振效果。数值仿真作为一种重要的辅助设计手段，可以更精确地模拟锻锤-隔振器-基础-地基整个系统的耦合动力行为，为优化设计提供依据。</w:t>
      </w:r>
    </w:p>
    <w:p w14:paraId="244717D1">
      <w:pPr>
        <w:spacing w:before="156"/>
        <w:ind w:firstLine="480"/>
      </w:pPr>
      <w:r>
        <w:rPr>
          <w:rFonts w:hint="eastAsia"/>
        </w:rPr>
        <w:t>数值仿真模型的基本构成。建立“锻锤-隔振器-基础-地基”系统的整体耦合模型是准确分析振动传递和衰减的关键。隔振器宜采用能同时定义刚度与阻尼的弹簧-阻尼单元模拟。地基模型的合理性对计算结果影响显著，采用等效粘弹性边界或无限元可以有效地模拟振动波在土体中的辐射阻尼效应，避免波在人工边界处的虚假反射，从而提高远场振动预测的准确性。</w:t>
      </w:r>
    </w:p>
    <w:p w14:paraId="27F91762">
      <w:pPr>
        <w:spacing w:before="156"/>
        <w:ind w:firstLine="480"/>
      </w:pPr>
      <w:r>
        <w:rPr>
          <w:rFonts w:hint="eastAsia"/>
        </w:rPr>
        <w:t>9.5.2</w:t>
      </w:r>
      <w:r>
        <w:t xml:space="preserve"> </w:t>
      </w:r>
      <w:r>
        <w:rPr>
          <w:rFonts w:hint="eastAsia"/>
        </w:rPr>
        <w:t>本款规定了数值仿真应包含的基本分析类型。</w:t>
      </w:r>
    </w:p>
    <w:p w14:paraId="7B5EBC17">
      <w:pPr>
        <w:spacing w:before="156"/>
        <w:ind w:firstLine="480"/>
      </w:pPr>
      <w:r>
        <w:rPr>
          <w:rFonts w:hint="eastAsia"/>
        </w:rPr>
        <w:t>1</w:t>
      </w:r>
      <w:r>
        <w:t xml:space="preserve"> </w:t>
      </w:r>
      <w:r>
        <w:rPr>
          <w:rFonts w:hint="eastAsia"/>
        </w:rPr>
        <w:t>模态分析用于确定隔振系统的固有频率和振型，是避免系统与锻锤冲击主频发生共振的前提，确保隔振系统工作在合理的频率范围。</w:t>
      </w:r>
    </w:p>
    <w:p w14:paraId="73D91E3F">
      <w:pPr>
        <w:spacing w:before="156"/>
        <w:ind w:firstLine="480"/>
      </w:pPr>
      <w:r>
        <w:rPr>
          <w:rFonts w:hint="eastAsia"/>
        </w:rPr>
        <w:t>2</w:t>
      </w:r>
      <w:r>
        <w:t xml:space="preserve"> </w:t>
      </w:r>
      <w:r>
        <w:rPr>
          <w:rFonts w:hint="eastAsia"/>
        </w:rPr>
        <w:t>瞬态动力分析是核心内容，用于直接模拟锻锤打击这一冲击荷载作用下的时间历程响应。它可以精确计算出基础和各楼层的最大振动位移、加速度以及隔振器的动应力，是评价隔振效果和结构安全性的直接依据。</w:t>
      </w:r>
    </w:p>
    <w:p w14:paraId="094815F2">
      <w:pPr>
        <w:spacing w:before="156"/>
        <w:ind w:firstLine="480"/>
      </w:pPr>
      <w:r>
        <w:rPr>
          <w:rFonts w:hint="eastAsia"/>
        </w:rPr>
        <w:t>3</w:t>
      </w:r>
      <w:r>
        <w:t xml:space="preserve"> </w:t>
      </w:r>
      <w:r>
        <w:rPr>
          <w:rFonts w:hint="eastAsia"/>
        </w:rPr>
        <w:t>谐响应分析用于分析系统在不同频率简谐荷载作用下的稳态响应，有助于理解振动传递率随频率的变化规律，综合评价隔振系统在频域内的性能。</w:t>
      </w:r>
    </w:p>
    <w:p w14:paraId="0DA729E8">
      <w:pPr>
        <w:spacing w:before="156"/>
        <w:ind w:firstLine="480"/>
      </w:pPr>
      <w:r>
        <w:rPr>
          <w:rFonts w:hint="eastAsia"/>
        </w:rPr>
        <w:t>9.5.3</w:t>
      </w:r>
      <w:r>
        <w:t xml:space="preserve"> </w:t>
      </w:r>
      <w:r>
        <w:rPr>
          <w:shd w:val="clear" w:color="auto" w:fill="FFFFFF"/>
        </w:rPr>
        <w:t>本款指出了数值仿真的最终目的不仅是分析，更是为了优化设计。通过改变模型中隔振器的布置、刚度（K）、阻尼（C）等参数，可以反复计算并对比不同方案的振动控制效果和结构受力状态。从而在满足振动限值的前提下，寻求经济、合理、安全的最优设计方案，实现性能与成本的平衡。</w:t>
      </w:r>
    </w:p>
    <w:p w14:paraId="1485609B">
      <w:pPr>
        <w:spacing w:before="156"/>
        <w:ind w:firstLine="480"/>
      </w:pPr>
      <w:r>
        <w:rPr>
          <w:rFonts w:hint="eastAsia"/>
        </w:rPr>
        <w:t>9.5.4</w:t>
      </w:r>
      <w:r>
        <w:t xml:space="preserve"> </w:t>
      </w:r>
      <w:r>
        <w:rPr>
          <w:rFonts w:hint="eastAsia"/>
        </w:rPr>
        <w:t>本款强调了数值仿真结果必须通过实践进行验证。对于大型重要工程，仿真中采用的模型、参数和本构关系必须通过现场原型测试或模型试验数据进行校核与修正。将仿真结果与理论计算及测试结果对比，并将误差控制在可接受的范围内，是确保数值仿真结果可靠性、从而正确指导工程设计的必要环节。未经验证的仿真结果不宜直接作为最终设计依据。</w:t>
      </w:r>
    </w:p>
    <w:p w14:paraId="0BCBA619">
      <w:pPr>
        <w:pStyle w:val="4"/>
        <w:spacing w:before="156"/>
      </w:pPr>
      <w:bookmarkStart w:id="83" w:name="_Toc206578597"/>
      <w:r>
        <w:rPr>
          <w:rFonts w:hint="eastAsia"/>
        </w:rPr>
        <w:t>9.6</w:t>
      </w:r>
      <w:r>
        <w:t xml:space="preserve"> </w:t>
      </w:r>
      <w:r>
        <w:rPr>
          <w:rFonts w:hint="eastAsia"/>
        </w:rPr>
        <w:t>隔振器与阻尼器选用</w:t>
      </w:r>
      <w:bookmarkEnd w:id="83"/>
    </w:p>
    <w:p w14:paraId="5F531D53">
      <w:pPr>
        <w:spacing w:before="156"/>
        <w:ind w:firstLine="480"/>
      </w:pPr>
      <w:r>
        <w:rPr>
          <w:rFonts w:hint="eastAsia"/>
        </w:rPr>
        <w:t>9.6.1</w:t>
      </w:r>
      <w:r>
        <w:t xml:space="preserve"> </w:t>
      </w:r>
      <w:r>
        <w:rPr>
          <w:rFonts w:hint="eastAsia"/>
        </w:rPr>
        <w:t>锻锤隔振基础中核心元件，隔振器与阻尼器应符合如下选用原则、技术要求和性能指标。隔振系统的有效性、可靠性和耐久性直接取决于这些元件的正确选择和设计。</w:t>
      </w:r>
    </w:p>
    <w:p w14:paraId="034CC4DB">
      <w:pPr>
        <w:spacing w:before="156"/>
        <w:ind w:firstLine="480"/>
      </w:pPr>
      <w:r>
        <w:rPr>
          <w:rFonts w:hint="eastAsia"/>
        </w:rPr>
        <w:t>隔振器选用的总体原则。锻锤冲击荷载具有峰值高、历时短、频带宽的特点，因此隔振器必须具备高承载能力、抗冲击疲劳性能及良好的动态稳定性。选择时需进行综合技术经济比较，并非单一追求高性能指标，而应选择最匹配锻锤工作特性和环境要求的产品。</w:t>
      </w:r>
    </w:p>
    <w:p w14:paraId="31AE0D7D">
      <w:pPr>
        <w:spacing w:before="156"/>
        <w:ind w:firstLine="480"/>
      </w:pPr>
      <w:r>
        <w:rPr>
          <w:rFonts w:hint="eastAsia"/>
        </w:rPr>
        <w:t>9.6.2隔振器设计需满足下列四项基本功能要求。</w:t>
      </w:r>
    </w:p>
    <w:p w14:paraId="56682787">
      <w:pPr>
        <w:spacing w:before="156"/>
        <w:ind w:firstLine="480"/>
      </w:pPr>
      <w:r>
        <w:rPr>
          <w:rFonts w:hint="eastAsia"/>
        </w:rPr>
        <w:t>1</w:t>
      </w:r>
      <w:r>
        <w:t xml:space="preserve"> </w:t>
      </w:r>
      <w:r>
        <w:rPr>
          <w:rFonts w:hint="eastAsia"/>
        </w:rPr>
        <w:t>降低振动传递率是隔振的核心目标，需通过合理的刚度和阻尼匹配来实现。</w:t>
      </w:r>
    </w:p>
    <w:p w14:paraId="38DE632F">
      <w:pPr>
        <w:spacing w:before="156"/>
        <w:ind w:firstLine="480"/>
      </w:pPr>
      <w:r>
        <w:rPr>
          <w:rFonts w:hint="eastAsia"/>
        </w:rPr>
        <w:t>2</w:t>
      </w:r>
      <w:r>
        <w:t xml:space="preserve"> </w:t>
      </w:r>
      <w:r>
        <w:rPr>
          <w:rFonts w:hint="eastAsia"/>
        </w:rPr>
        <w:t>足够的承载能力和稳定性是保证设备安全运行和隔振器自身不被压溃或失稳的前提。</w:t>
      </w:r>
    </w:p>
    <w:p w14:paraId="14DB1560">
      <w:pPr>
        <w:spacing w:before="156"/>
        <w:ind w:firstLine="480"/>
      </w:pPr>
      <w:r>
        <w:rPr>
          <w:rFonts w:hint="eastAsia"/>
        </w:rPr>
        <w:t>3</w:t>
      </w:r>
      <w:r>
        <w:t xml:space="preserve"> </w:t>
      </w:r>
      <w:r>
        <w:rPr>
          <w:rFonts w:hint="eastAsia"/>
        </w:rPr>
        <w:t>锻锤每天成千上万次的冲击对隔振器构成严峻的疲劳考验，其材料和结构必须具有优异的抗冲击和抗疲劳性能。</w:t>
      </w:r>
    </w:p>
    <w:p w14:paraId="0A1B2CA5">
      <w:pPr>
        <w:spacing w:before="156"/>
        <w:ind w:firstLine="480"/>
      </w:pPr>
      <w:r>
        <w:rPr>
          <w:rFonts w:hint="eastAsia"/>
        </w:rPr>
        <w:t>4</w:t>
      </w:r>
      <w:r>
        <w:t xml:space="preserve"> </w:t>
      </w:r>
      <w:r>
        <w:rPr>
          <w:rFonts w:hint="eastAsia"/>
        </w:rPr>
        <w:t>便于安装、维护和更换是工程实用性的体现，设计时应预留必要的操作空间和更换条件。</w:t>
      </w:r>
    </w:p>
    <w:p w14:paraId="42AE25C9">
      <w:pPr>
        <w:spacing w:before="156"/>
        <w:ind w:firstLine="480"/>
      </w:pPr>
      <w:r>
        <w:rPr>
          <w:rFonts w:hint="eastAsia"/>
        </w:rPr>
        <w:t>9.6.3</w:t>
      </w:r>
      <w:r>
        <w:t xml:space="preserve"> </w:t>
      </w:r>
      <w:r>
        <w:rPr>
          <w:rFonts w:hint="eastAsia"/>
        </w:rPr>
        <w:t>隔振器的布置直接影响基组的振动模态和设备运行平稳性。刚度不均会导致基础倾斜，引起设备安装精度超差，甚至诱发扭转振动等复杂模态，严重影响隔振效果和设备寿命。因此，应保证各隔振器刚度、标高一致，布置对称均匀。</w:t>
      </w:r>
    </w:p>
    <w:p w14:paraId="23C26660">
      <w:pPr>
        <w:spacing w:before="156"/>
        <w:ind w:firstLine="480"/>
      </w:pPr>
      <w:r>
        <w:rPr>
          <w:rFonts w:hint="eastAsia"/>
        </w:rPr>
        <w:t>9.6.4</w:t>
      </w:r>
      <w:r>
        <w:t xml:space="preserve"> </w:t>
      </w:r>
      <w:r>
        <w:rPr>
          <w:rFonts w:hint="eastAsia"/>
        </w:rPr>
        <w:t>钢弹簧是锻锤隔振中最常用的隔振元件之一，因其承载力高、刚度稳定、耐久性好。本条对其材料、力学性能、防腐处理和几何尺寸提出了具体要求。</w:t>
      </w:r>
    </w:p>
    <w:p w14:paraId="23B1C129">
      <w:pPr>
        <w:spacing w:before="156"/>
        <w:ind w:firstLine="480"/>
      </w:pPr>
      <w:r>
        <w:rPr>
          <w:rFonts w:hint="eastAsia"/>
        </w:rPr>
        <w:t>强调采用优质合金钢并符合《弹簧钢》GB/T 1222，是为了确保弹簧在冲击荷载下具有足够的强度和韧性。要求表面防腐处理，是为了适应工业厂房可能存在的潮湿、油污等腐蚀环境。尺寸和形状需根据荷载和空间限制专门设计，避免使用未经计算的通用件。</w:t>
      </w:r>
    </w:p>
    <w:p w14:paraId="5C68C8F2">
      <w:pPr>
        <w:spacing w:before="156"/>
        <w:ind w:firstLine="480"/>
      </w:pPr>
      <w:r>
        <w:rPr>
          <w:rFonts w:hint="eastAsia"/>
        </w:rPr>
        <w:t>9.6.5 本条对隔振器的关键动态性能参数做出了定量规定。</w:t>
      </w:r>
    </w:p>
    <w:p w14:paraId="69AC3E3B">
      <w:pPr>
        <w:spacing w:before="156"/>
        <w:ind w:firstLine="480"/>
      </w:pPr>
      <w:r>
        <w:rPr>
          <w:rFonts w:hint="eastAsia"/>
        </w:rPr>
        <w:t>1</w:t>
      </w:r>
      <w:r>
        <w:t xml:space="preserve"> </w:t>
      </w:r>
      <w:r>
        <w:rPr>
          <w:rFonts w:hint="eastAsia"/>
        </w:rPr>
        <w:t>锻锤冲击荷载具有多维特性，因此隔振器应具备三向（竖向、水平向）的隔振能力和约束性能。</w:t>
      </w:r>
    </w:p>
    <w:p w14:paraId="0F9FFA54">
      <w:pPr>
        <w:spacing w:before="156"/>
        <w:ind w:firstLine="480"/>
      </w:pPr>
      <w:r>
        <w:rPr>
          <w:rFonts w:hint="eastAsia"/>
        </w:rPr>
        <w:t>2</w:t>
      </w:r>
      <w:r>
        <w:t xml:space="preserve"> </w:t>
      </w:r>
      <w:r>
        <w:rPr>
          <w:rFonts w:hint="eastAsia"/>
        </w:rPr>
        <w:t>额定承载力留有1.25倍的安全裕度，是为了应对不可预见的过载情况，并满足疲劳寿命要求。</w:t>
      </w:r>
    </w:p>
    <w:p w14:paraId="59D2DC5C">
      <w:pPr>
        <w:spacing w:before="156"/>
        <w:ind w:firstLine="480"/>
      </w:pPr>
      <w:r>
        <w:rPr>
          <w:rFonts w:hint="eastAsia"/>
        </w:rPr>
        <w:t>3</w:t>
      </w:r>
      <w:r>
        <w:t xml:space="preserve"> </w:t>
      </w:r>
      <w:r>
        <w:rPr>
          <w:rFonts w:hint="eastAsia"/>
        </w:rPr>
        <w:t>对刚度的稳定性提出了包括静刚度偏差&lt;15%，动静刚度偏差&lt;10%等的要求，是因为刚度是计算隔振系统固有频率和隔振效果的关键参数，其稳定性直接决定了理论设计与实际效果的一致性。</w:t>
      </w:r>
    </w:p>
    <w:p w14:paraId="10A93D83">
      <w:pPr>
        <w:spacing w:before="156"/>
        <w:ind w:firstLine="480"/>
      </w:pPr>
      <w:r>
        <w:rPr>
          <w:rFonts w:hint="eastAsia"/>
        </w:rPr>
        <w:t>9.6.6</w:t>
      </w:r>
      <w:r>
        <w:t xml:space="preserve"> </w:t>
      </w:r>
      <w:r>
        <w:rPr>
          <w:rFonts w:hint="eastAsia"/>
        </w:rPr>
        <w:t>阻尼器主要用于消耗冲击能量，抑制共振振幅。本条对阻尼材料的选用和性能提出了要求。</w:t>
      </w:r>
    </w:p>
    <w:p w14:paraId="4F80BF61">
      <w:pPr>
        <w:spacing w:before="156"/>
        <w:ind w:firstLine="480"/>
      </w:pPr>
      <w:r>
        <w:rPr>
          <w:rFonts w:hint="eastAsia"/>
        </w:rPr>
        <w:t>推荐橡胶、聚氨酯等高分子材料，是因为其具有高损耗因子，能有效耗能。</w:t>
      </w:r>
    </w:p>
    <w:p w14:paraId="7D0D531C">
      <w:pPr>
        <w:spacing w:before="156"/>
        <w:ind w:firstLine="480"/>
      </w:pPr>
      <w:r>
        <w:rPr>
          <w:rFonts w:hint="eastAsia"/>
        </w:rPr>
        <w:t>要求耐油、耐老化，是为了保证其在工业环境下的长期性能稳定性。</w:t>
      </w:r>
    </w:p>
    <w:p w14:paraId="6F0DDA6E">
      <w:pPr>
        <w:spacing w:before="156"/>
        <w:ind w:firstLine="480"/>
      </w:pPr>
      <w:r>
        <w:rPr>
          <w:rFonts w:hint="eastAsia"/>
        </w:rPr>
        <w:t>阻尼比ζ范围0.08~0.30是一个经验范围。阻尼过小则冲击后振动衰减慢，可能影响锻锤作业节奏；阻尼过大则会降低高频区域的隔振效果，且传递到基础的动荷载会增加。具体取值需根据隔振目标和锻锤类型权衡确定。</w:t>
      </w:r>
    </w:p>
    <w:p w14:paraId="67C9C115">
      <w:pPr>
        <w:spacing w:before="156"/>
        <w:ind w:firstLine="480"/>
      </w:pPr>
      <w:r>
        <w:rPr>
          <w:rFonts w:hint="eastAsia"/>
        </w:rPr>
        <w:t>阻尼系数通常与频率相关，规定以10Hz下的值为参考值是为了统一测试和比较标准。</w:t>
      </w:r>
    </w:p>
    <w:p w14:paraId="42AD8233">
      <w:pPr>
        <w:spacing w:before="156"/>
        <w:ind w:firstLine="480"/>
      </w:pPr>
      <w:r>
        <w:rPr>
          <w:rFonts w:hint="eastAsia"/>
        </w:rPr>
        <w:t>要求温度稳定性，是为避免环境温度变化导致阻尼性能剧烈变化，影响系统稳定性。</w:t>
      </w:r>
    </w:p>
    <w:p w14:paraId="3EE123C4">
      <w:pPr>
        <w:spacing w:before="156"/>
        <w:ind w:firstLine="480"/>
      </w:pPr>
      <w:r>
        <w:rPr>
          <w:rFonts w:hint="eastAsia"/>
        </w:rPr>
        <w:t>第7款说明阻尼器通常不单独使用，而是与钢弹簧组合形成“弹簧-阻尼”系统，兼顾隔振（弹簧）和耗能（阻尼）功能。</w:t>
      </w:r>
    </w:p>
    <w:p w14:paraId="43BD3421">
      <w:pPr>
        <w:spacing w:before="156"/>
        <w:ind w:firstLine="480"/>
      </w:pPr>
      <w:r>
        <w:rPr>
          <w:rFonts w:hint="eastAsia"/>
        </w:rPr>
        <w:t>9.6.7</w:t>
      </w:r>
      <w:r>
        <w:t xml:space="preserve"> </w:t>
      </w:r>
      <w:r>
        <w:rPr>
          <w:rFonts w:hint="eastAsia"/>
        </w:rPr>
        <w:t>本条对集成了弹簧与阻尼的复合隔振器的综合性能提出了具体的量化指标。这些指标是检验产品是否合格、能否满足工程应用的重要依据，包括静态压缩量、耐久性、振动传递率、阻尼比、工作温度范围和耐腐蚀性等。</w:t>
      </w:r>
    </w:p>
    <w:p w14:paraId="10A8DEE9">
      <w:pPr>
        <w:spacing w:before="156"/>
        <w:ind w:firstLine="480"/>
      </w:pPr>
      <w:r>
        <w:rPr>
          <w:rFonts w:hint="eastAsia"/>
        </w:rPr>
        <w:t>9.6.8</w:t>
      </w:r>
      <w:r>
        <w:t xml:space="preserve"> </w:t>
      </w:r>
      <w:r>
        <w:rPr>
          <w:rFonts w:hint="eastAsia"/>
        </w:rPr>
        <w:t>隔振器如果安装不当也无法达到预期效果。要求安装前的检查、连接的牢固性以及安装后的测试验证，确保隔振器安装位置正确、受力均匀、无初始缺陷。</w:t>
      </w:r>
    </w:p>
    <w:p w14:paraId="1D82B7E8">
      <w:pPr>
        <w:spacing w:before="156"/>
        <w:ind w:firstLine="480"/>
      </w:pPr>
      <w:r>
        <w:rPr>
          <w:rFonts w:hint="eastAsia"/>
        </w:rPr>
        <w:t>9.6.9</w:t>
      </w:r>
      <w:r>
        <w:t xml:space="preserve"> </w:t>
      </w:r>
      <w:r>
        <w:rPr>
          <w:rFonts w:hint="eastAsia"/>
        </w:rPr>
        <w:t>隔振系统并非永久性部件，需要定期维护以确保其长期性能。本条规定了日常检查的内容和发现异常后的处理措施，建立预防性维护制度，避免因隔振器失效而导致设备损坏或振动超标。</w:t>
      </w:r>
    </w:p>
    <w:p w14:paraId="239A2637">
      <w:pPr>
        <w:pStyle w:val="3"/>
      </w:pPr>
      <w:bookmarkStart w:id="84" w:name="_Toc206578598"/>
      <w:r>
        <w:t>1</w:t>
      </w:r>
      <w:r>
        <w:rPr>
          <w:rFonts w:hint="eastAsia"/>
        </w:rPr>
        <w:t>0、基础构造措施</w:t>
      </w:r>
      <w:bookmarkEnd w:id="84"/>
    </w:p>
    <w:p w14:paraId="6BB8D6FB">
      <w:pPr>
        <w:pStyle w:val="4"/>
        <w:spacing w:before="156"/>
      </w:pPr>
      <w:bookmarkStart w:id="85" w:name="_Toc206578599"/>
      <w:r>
        <w:t>1</w:t>
      </w:r>
      <w:r>
        <w:rPr>
          <w:rFonts w:hint="eastAsia"/>
        </w:rPr>
        <w:t>0.1</w:t>
      </w:r>
      <w:r>
        <w:t xml:space="preserve"> </w:t>
      </w:r>
      <w:r>
        <w:rPr>
          <w:rFonts w:hint="eastAsia"/>
        </w:rPr>
        <w:t>一般规定</w:t>
      </w:r>
      <w:bookmarkEnd w:id="85"/>
    </w:p>
    <w:p w14:paraId="3B6AF486">
      <w:pPr>
        <w:spacing w:before="156"/>
        <w:ind w:firstLine="480"/>
      </w:pPr>
      <w:r>
        <w:t>1</w:t>
      </w:r>
      <w:r>
        <w:rPr>
          <w:rFonts w:hint="eastAsia"/>
        </w:rPr>
        <w:t>0</w:t>
      </w:r>
      <w:r>
        <w:t xml:space="preserve">.1.1 </w:t>
      </w:r>
      <w:r>
        <w:rPr>
          <w:rFonts w:hint="eastAsia"/>
        </w:rPr>
        <w:t>锻锤基础在冲击荷载作用下承受极大的动力响应，其构造设计需综合考虑强度、刚度、耐久性、抗疲劳性和抗冲击韧性。本条明确了基础设计的五项基本性能要求，确保基础在长期冲击作用下仍能保持结构完整性和使用功能。</w:t>
      </w:r>
    </w:p>
    <w:p w14:paraId="0032E4E4">
      <w:pPr>
        <w:spacing w:before="156"/>
        <w:ind w:firstLine="480"/>
      </w:pPr>
      <w:r>
        <w:rPr>
          <w:rFonts w:hint="eastAsia"/>
        </w:rPr>
        <w:t>1</w:t>
      </w:r>
      <w:r>
        <w:t xml:space="preserve"> </w:t>
      </w:r>
      <w:r>
        <w:rPr>
          <w:rFonts w:hint="eastAsia"/>
        </w:rPr>
        <w:t>强度要求：指基础在锻锤最大冲击荷载的瞬时作用下，混凝土和钢筋应力不应超过材料强度极限，防止结构性破坏。</w:t>
      </w:r>
    </w:p>
    <w:p w14:paraId="4844D606">
      <w:pPr>
        <w:spacing w:before="156"/>
        <w:ind w:firstLine="480"/>
      </w:pPr>
      <w:r>
        <w:rPr>
          <w:rFonts w:hint="eastAsia"/>
        </w:rPr>
        <w:t>2</w:t>
      </w:r>
      <w:r>
        <w:t xml:space="preserve"> </w:t>
      </w:r>
      <w:r>
        <w:rPr>
          <w:rFonts w:hint="eastAsia"/>
        </w:rPr>
        <w:t>刚度要求：控制基础的整体和局部变形，过大的振动幅值会影响锻锤的打击精度和工艺质量，并可能通过地基传播，影响邻近设备和建筑的安全。</w:t>
      </w:r>
    </w:p>
    <w:p w14:paraId="342BD0C4">
      <w:pPr>
        <w:spacing w:before="156"/>
        <w:ind w:firstLine="480"/>
      </w:pPr>
      <w:r>
        <w:rPr>
          <w:rFonts w:hint="eastAsia"/>
        </w:rPr>
        <w:t>3</w:t>
      </w:r>
      <w:r>
        <w:t xml:space="preserve"> </w:t>
      </w:r>
      <w:r>
        <w:rPr>
          <w:rFonts w:hint="eastAsia"/>
        </w:rPr>
        <w:t>耐久性要求：锻锤基础常位于车间地下，可能处于潮湿或地下水环境中，因此需具备抗渗、抗冻、抗腐蚀等性能，确保其在设计使用年限内的可靠性。</w:t>
      </w:r>
    </w:p>
    <w:p w14:paraId="3961E43E">
      <w:pPr>
        <w:spacing w:before="156"/>
        <w:ind w:firstLine="480"/>
      </w:pPr>
      <w:r>
        <w:rPr>
          <w:rFonts w:hint="eastAsia"/>
        </w:rPr>
        <w:t>4</w:t>
      </w:r>
      <w:r>
        <w:t xml:space="preserve"> </w:t>
      </w:r>
      <w:r>
        <w:rPr>
          <w:rFonts w:hint="eastAsia"/>
        </w:rPr>
        <w:t>抗疲劳性要求：锻锤工作时的荷载是每分钟数次至数十次的重复冲击荷载，基础结构（特别是砧座下方和应力集中区域）必须具备良好的抗疲劳性能，防止裂缝的萌生和扩展。</w:t>
      </w:r>
    </w:p>
    <w:p w14:paraId="0E48278F">
      <w:pPr>
        <w:spacing w:before="156"/>
        <w:ind w:firstLine="480"/>
      </w:pPr>
      <w:r>
        <w:rPr>
          <w:rFonts w:hint="eastAsia"/>
        </w:rPr>
        <w:t>5</w:t>
      </w:r>
      <w:r>
        <w:t xml:space="preserve"> </w:t>
      </w:r>
      <w:r>
        <w:rPr>
          <w:rFonts w:hint="eastAsia"/>
        </w:rPr>
        <w:t>抗冲击韧性要求：在冲击荷载下，材料应能吸收较多能量并发生一定塑性变形而非突然断裂，因此对混凝土的骨料、强度等级以及钢筋的延性提出了更高要求。</w:t>
      </w:r>
    </w:p>
    <w:p w14:paraId="1D3116D7">
      <w:pPr>
        <w:spacing w:before="156"/>
        <w:ind w:firstLine="480"/>
      </w:pPr>
      <w:r>
        <w:rPr>
          <w:rFonts w:hint="eastAsia"/>
        </w:rPr>
        <w:t>10.1.2</w:t>
      </w:r>
      <w:r>
        <w:t xml:space="preserve"> </w:t>
      </w:r>
      <w:r>
        <w:rPr>
          <w:rFonts w:hint="eastAsia"/>
        </w:rPr>
        <w:t>特殊地质条件（如软弱土、液化土、湿陷性黄土等）会显著影响基础的稳定性和振动特性。本条强调在地基持力层不良时应进行专项处理，必要时采用桩基，并按抗拔桩设计，以增强基础的抗振能力和整体稳定性。</w:t>
      </w:r>
    </w:p>
    <w:p w14:paraId="69CBA778">
      <w:pPr>
        <w:spacing w:before="156"/>
        <w:ind w:firstLine="480"/>
      </w:pPr>
      <w:r>
        <w:rPr>
          <w:rFonts w:hint="eastAsia"/>
        </w:rPr>
        <w:t>锻锤基础的振动性能与地基土的特性密切相关，锻锤基础的地基处理应符合如下规定：当天然地基软弱、存在液化土或湿陷性黄土时，必须进行人工处理（如换填、强夯、注浆等）或采用桩基，将荷载传递到更深、更稳定的土层。桩基应按抗拔桩设计，是因为在冲击荷载引起的振动过程中，基础对桩基会产生反复的上拔作用。</w:t>
      </w:r>
    </w:p>
    <w:p w14:paraId="44AF35E7">
      <w:pPr>
        <w:spacing w:before="156"/>
        <w:ind w:firstLine="480"/>
      </w:pPr>
      <w:r>
        <w:rPr>
          <w:rFonts w:hint="eastAsia"/>
        </w:rPr>
        <w:t>10.1.3</w:t>
      </w:r>
      <w:r>
        <w:t xml:space="preserve"> </w:t>
      </w:r>
      <w:r>
        <w:rPr>
          <w:rFonts w:hint="eastAsia"/>
        </w:rPr>
        <w:t>锻锤基础的构造设计应兼顾设备安装、维护检修和工艺操作的便利性。预埋件、地脚螺栓孔的设置应准确，避免后期调整困难；检修通道和观测孔的预留有助于长期运维。</w:t>
      </w:r>
    </w:p>
    <w:p w14:paraId="0AA49156">
      <w:pPr>
        <w:spacing w:before="156"/>
        <w:ind w:firstLine="480"/>
      </w:pPr>
      <w:r>
        <w:rPr>
          <w:rFonts w:hint="eastAsia"/>
        </w:rPr>
        <w:t>10.1.4</w:t>
      </w:r>
      <w:r>
        <w:t xml:space="preserve"> </w:t>
      </w:r>
      <w:r>
        <w:rPr>
          <w:rFonts w:hint="eastAsia"/>
        </w:rPr>
        <w:t>基础形式的选择应结合锻锤规格、地质条件及环境振动要求。大块式基础适用于振动控制要求不高的场合；地坑式基础适用于大型锻锤或软弱地基。砧座凹坑区域的施工质量对基础性能影响显著，应严格控制混凝土浇筑质量和钢筋布置。基础形式的选择和关键部位的施工应符合下列规定。</w:t>
      </w:r>
    </w:p>
    <w:p w14:paraId="4B56605B">
      <w:pPr>
        <w:spacing w:before="156"/>
        <w:ind w:firstLine="480"/>
      </w:pPr>
      <w:r>
        <w:rPr>
          <w:rFonts w:hint="eastAsia"/>
        </w:rPr>
        <w:t>大块式基础：依靠其巨大质量和刚度来抵抗振动，适用于振动控制要求不高的场合。</w:t>
      </w:r>
    </w:p>
    <w:p w14:paraId="706018C6">
      <w:pPr>
        <w:spacing w:before="156"/>
        <w:ind w:firstLine="480"/>
      </w:pPr>
      <w:r>
        <w:rPr>
          <w:rFonts w:hint="eastAsia"/>
        </w:rPr>
        <w:t>地坑式基础：整体性强，对限制振动传播更为有效，尤其适用于大型锻锤或环境敏感区域。</w:t>
      </w:r>
    </w:p>
    <w:p w14:paraId="4CD17F3C">
      <w:pPr>
        <w:spacing w:before="156"/>
        <w:ind w:firstLine="480"/>
      </w:pPr>
      <w:r>
        <w:rPr>
          <w:rFonts w:hint="eastAsia"/>
        </w:rPr>
        <w:t>砧座下施工要求：砧座是直接承受冲击的关键部位，其下的混凝土必须连续浇筑、充分振捣、严格找平，以确保冲击力能均匀扩散至基础整体。规定1.5m范围内不得设施工缝，是为了避免该高应力区形成薄弱环节。</w:t>
      </w:r>
    </w:p>
    <w:p w14:paraId="040E5448">
      <w:pPr>
        <w:spacing w:before="156"/>
        <w:ind w:firstLine="480"/>
      </w:pPr>
      <w:r>
        <w:rPr>
          <w:rFonts w:hint="eastAsia"/>
        </w:rPr>
        <w:t>10.1.5</w:t>
      </w:r>
      <w:r>
        <w:t xml:space="preserve"> </w:t>
      </w:r>
      <w:r>
        <w:rPr>
          <w:rFonts w:hint="eastAsia"/>
        </w:rPr>
        <w:t>隔振基础的设计应综合考虑隔振元件的选型、系统频率匹配、隔振效率及可维护性。隔振系统的固有频率应避开锻锤工作频率，避免共振；阻尼比的合理取值可有效抑制冲击响应。</w:t>
      </w:r>
    </w:p>
    <w:p w14:paraId="3A80EDEE">
      <w:pPr>
        <w:spacing w:before="156"/>
        <w:ind w:firstLine="480"/>
      </w:pPr>
      <w:r>
        <w:rPr>
          <w:rFonts w:hint="eastAsia"/>
        </w:rPr>
        <w:t>本条为隔振基础的设计提供了基本原则。隔振系统的设计核心是频率匹配（避开共振区）和位移控制。较高的阻尼（&gt;0.15）可以有效抑制冲击引起的瞬态共振响应。同时，必须设置机械限位装置，防止在极端冲击或意外情况下隔振器发生过大的变形或失效，确保系统安全。</w:t>
      </w:r>
    </w:p>
    <w:p w14:paraId="25B4CF05">
      <w:pPr>
        <w:pStyle w:val="4"/>
        <w:spacing w:before="156"/>
      </w:pPr>
      <w:bookmarkStart w:id="86" w:name="_Toc206578600"/>
      <w:r>
        <w:rPr>
          <w:rFonts w:hint="eastAsia"/>
        </w:rPr>
        <w:t>10.2 基础材料</w:t>
      </w:r>
      <w:bookmarkEnd w:id="86"/>
      <w:r>
        <w:rPr>
          <w:rFonts w:hint="eastAsia"/>
        </w:rPr>
        <w:t xml:space="preserve"> </w:t>
      </w:r>
    </w:p>
    <w:p w14:paraId="7A8A3E43">
      <w:pPr>
        <w:spacing w:before="156"/>
        <w:ind w:firstLine="480"/>
      </w:pPr>
      <w:r>
        <w:t>1</w:t>
      </w:r>
      <w:r>
        <w:rPr>
          <w:rFonts w:hint="eastAsia"/>
        </w:rPr>
        <w:t>0</w:t>
      </w:r>
      <w:r>
        <w:t xml:space="preserve">.2.1 </w:t>
      </w:r>
      <w:r>
        <w:rPr>
          <w:rFonts w:hint="eastAsia"/>
        </w:rPr>
        <w:t>锻锤基础混凝土的选用宜符合下列要求：</w:t>
      </w:r>
    </w:p>
    <w:p w14:paraId="2483871A">
      <w:pPr>
        <w:spacing w:before="156"/>
        <w:ind w:firstLine="480"/>
      </w:pPr>
      <w:r>
        <w:rPr>
          <w:rFonts w:hint="eastAsia"/>
        </w:rPr>
        <w:t>1</w:t>
      </w:r>
      <w:r>
        <w:t xml:space="preserve"> </w:t>
      </w:r>
      <w:r>
        <w:rPr>
          <w:rFonts w:hint="eastAsia"/>
        </w:rPr>
        <w:t>锻锤基础宜采用整体式混凝土结构，以提高整体刚度和抗冲击性能。</w:t>
      </w:r>
    </w:p>
    <w:p w14:paraId="6AE76AA8">
      <w:pPr>
        <w:spacing w:before="156"/>
        <w:ind w:firstLine="480"/>
      </w:pPr>
      <w:r>
        <w:rPr>
          <w:rFonts w:hint="eastAsia"/>
        </w:rPr>
        <w:t>2</w:t>
      </w:r>
      <w:r>
        <w:t xml:space="preserve"> </w:t>
      </w:r>
      <w:r>
        <w:rPr>
          <w:rFonts w:hint="eastAsia"/>
        </w:rPr>
        <w:t>直接承受冲击荷载的部位，如砧座下方，应采用强度等级不低于C35的混凝土，以确保足够的抗压和抗拉强度。</w:t>
      </w:r>
    </w:p>
    <w:p w14:paraId="7DE78CF6">
      <w:pPr>
        <w:spacing w:before="156"/>
        <w:ind w:firstLine="480"/>
      </w:pPr>
      <w:r>
        <w:rPr>
          <w:rFonts w:hint="eastAsia"/>
        </w:rPr>
        <w:t>3</w:t>
      </w:r>
      <w:r>
        <w:t xml:space="preserve"> </w:t>
      </w:r>
      <w:r>
        <w:rPr>
          <w:rFonts w:hint="eastAsia"/>
        </w:rPr>
        <w:t xml:space="preserve">非直接受冲击部位，如基坑侧壁等，主要承受土压力和侧向约束作用，其强度要求可适当降低，采用C30混凝土可满足要求并兼顾经济性。垫层混凝土强度等级不低于C15是出于施工找平和基础保护的基本需求。且应符合《混凝土结构设计标准》GB/T 50010的一般要求。 </w:t>
      </w:r>
    </w:p>
    <w:p w14:paraId="20CA2F4F">
      <w:pPr>
        <w:spacing w:before="156"/>
        <w:ind w:firstLine="480"/>
      </w:pPr>
      <w:r>
        <w:rPr>
          <w:rFonts w:hint="eastAsia"/>
        </w:rPr>
        <w:t>4</w:t>
      </w:r>
      <w:r>
        <w:t xml:space="preserve"> </w:t>
      </w:r>
      <w:r>
        <w:rPr>
          <w:rFonts w:hint="eastAsia"/>
        </w:rPr>
        <w:t>当地下水位较高或处于潮湿环境时，应采用防水混凝土，抗渗等级一般不低于P6，特殊情况下不低于P8，以满足耐久性要求。当地下水具有腐蚀性时，应依据现行国家标准《工业建筑防腐蚀设计标准》GB/T 50046等相关规范，选用耐腐蚀的水泥品种并控制水胶比，或采取其他防腐措施。</w:t>
      </w:r>
    </w:p>
    <w:p w14:paraId="4CDA562A">
      <w:pPr>
        <w:spacing w:before="156"/>
        <w:ind w:firstLine="480"/>
      </w:pPr>
      <w:r>
        <w:rPr>
          <w:rFonts w:hint="eastAsia"/>
        </w:rPr>
        <w:t>5</w:t>
      </w:r>
      <w:r>
        <w:t xml:space="preserve"> </w:t>
      </w:r>
      <w:r>
        <w:rPr>
          <w:rFonts w:hint="eastAsia"/>
        </w:rPr>
        <w:t>混凝土骨料应选用坚硬、级配良好的粗骨料，以提高抗冲击能力和抗疲劳性能。</w:t>
      </w:r>
    </w:p>
    <w:p w14:paraId="40DD7E68">
      <w:pPr>
        <w:spacing w:before="156"/>
        <w:ind w:firstLine="480"/>
      </w:pPr>
      <w:r>
        <w:rPr>
          <w:rFonts w:hint="eastAsia"/>
        </w:rPr>
        <w:t>10.2.2</w:t>
      </w:r>
      <w:r>
        <w:t xml:space="preserve"> </w:t>
      </w:r>
      <w:r>
        <w:rPr>
          <w:rFonts w:hint="eastAsia"/>
        </w:rPr>
        <w:t>锻锤基础在冲击荷载作用下，内部会产生复杂的动应力，对钢筋的强度、延性和疲劳性能要求较高。HRB400、HRB500级热轧带肋钢筋具有强度高、延性好、性能稳定的优点，是受力钢筋的首选。规定钢筋连接不宜采用焊接接头，是因为焊接热影响区可能形成材质脆化点，在长期冲击振动荷载下易成为疲劳裂纹源，采用机械连接（如直螺纹套筒连接）可有效避免此问题，保证钢筋连接段的整体性能和抗震、抗疲劳能力。构造钢筋的性能要求可适当放宽，采用细晶粒热轧钢筋（HRBF）即可满足。</w:t>
      </w:r>
    </w:p>
    <w:p w14:paraId="70557689">
      <w:pPr>
        <w:spacing w:before="156"/>
        <w:ind w:firstLine="480"/>
      </w:pPr>
      <w:r>
        <w:rPr>
          <w:rFonts w:hint="eastAsia"/>
        </w:rPr>
        <w:t>10.2.3</w:t>
      </w:r>
      <w:r>
        <w:t xml:space="preserve"> </w:t>
      </w:r>
      <w:r>
        <w:rPr>
          <w:rFonts w:hint="eastAsia"/>
        </w:rPr>
        <w:t>锻锤设备的地脚螺栓、预埋件、支承结构等钢结构部件，不仅需要承受静力荷载，更需承受设备运行时的动力和冲击荷载。Q235B和Q355B钢属于低合金高强度结构钢，具有良好的综合力学性能、可焊性和冲击韧性，能够满足上述受力要求。其质量等级应符合《碳素结构钢》GB/T 700和《低合金高强度结构钢》GB/T 1591的规定。</w:t>
      </w:r>
    </w:p>
    <w:p w14:paraId="279EF794">
      <w:pPr>
        <w:spacing w:before="156"/>
        <w:ind w:firstLine="480"/>
      </w:pPr>
      <w:r>
        <w:rPr>
          <w:rFonts w:hint="eastAsia"/>
        </w:rPr>
        <w:t>10.2.4</w:t>
      </w:r>
      <w:r>
        <w:t xml:space="preserve"> </w:t>
      </w:r>
      <w:r>
        <w:rPr>
          <w:rFonts w:hint="eastAsia"/>
        </w:rPr>
        <w:t>设备底座与混凝土基础之间的二次灌浆层起着传递设备荷载、固定地脚螺栓的关键作用。采用C40及以上强度的微膨胀细石混凝土或专用高强灌浆料，可以确保灌浆层具有高强、早强、无收缩的特性，从而与基础混凝土和底座底面紧密接触，保证荷载的有效传递，防止底座松动。专用灌浆料的流动度、竖向膨胀率等指标应符合《水泥基灌浆材料应用技术规范》GB/T 50448的规定。</w:t>
      </w:r>
    </w:p>
    <w:p w14:paraId="08787BDA">
      <w:pPr>
        <w:spacing w:before="156"/>
        <w:ind w:firstLine="480"/>
      </w:pPr>
      <w:r>
        <w:rPr>
          <w:rFonts w:hint="eastAsia"/>
        </w:rPr>
        <w:t>10.2.5</w:t>
      </w:r>
      <w:r>
        <w:t xml:space="preserve"> </w:t>
      </w:r>
      <w:r>
        <w:rPr>
          <w:rFonts w:hint="eastAsia"/>
        </w:rPr>
        <w:t>砧座垫层是介于锻锤砧座与混凝土基础之间的弹性缓冲层，其作用是吸收和分散锤头的冲击能量，减小传递到基础混凝土上的冲击应力峰值，保护基础不被击碎。</w:t>
      </w:r>
    </w:p>
    <w:p w14:paraId="1702B9E1">
      <w:pPr>
        <w:spacing w:before="156"/>
        <w:ind w:firstLine="480"/>
      </w:pPr>
      <w:r>
        <w:rPr>
          <w:rFonts w:hint="eastAsia"/>
        </w:rPr>
        <w:t>1</w:t>
      </w:r>
      <w:r>
        <w:t xml:space="preserve"> </w:t>
      </w:r>
      <w:r>
        <w:rPr>
          <w:rFonts w:hint="eastAsia"/>
        </w:rPr>
        <w:t>木垫：传统且常用的垫层材料。要求使用经干燥防腐处理的一等材，是为了保证其强度均匀、耐久性好，防止因腐朽或虫蛀而失效。对树种和强度等级的规定是保证木垫具有足够的抗压、抗冲击能力。控制含水率是为了防止使用过程中过度干缩导致垫层松动、变形或承载力下降。</w:t>
      </w:r>
    </w:p>
    <w:p w14:paraId="7D4C4474">
      <w:pPr>
        <w:spacing w:before="156"/>
        <w:ind w:firstLine="480"/>
      </w:pPr>
      <w:r>
        <w:rPr>
          <w:rFonts w:hint="eastAsia"/>
        </w:rPr>
        <w:t>2</w:t>
      </w:r>
      <w:r>
        <w:t xml:space="preserve"> </w:t>
      </w:r>
      <w:r>
        <w:rPr>
          <w:rFonts w:hint="eastAsia"/>
        </w:rPr>
        <w:t>橡胶垫：适用于中小型锻锤。规定含胶量和肖氏硬度是为了确保橡胶垫具有合适的弹性模量和阻尼特性，既能有效缓冲，又不会因过软而导致砧座位移过大。推荐氯丁胶、天然胶等是因为其综合力学性能和耐久性较好。对于长时间连续工作的热锻工况，耐热型橡胶能防止老化过快，延长使用寿命。相关产品应符合其行业和国家标准以保证质量。</w:t>
      </w:r>
    </w:p>
    <w:p w14:paraId="365E8BA0">
      <w:pPr>
        <w:pStyle w:val="4"/>
        <w:spacing w:before="156"/>
      </w:pPr>
      <w:bookmarkStart w:id="87" w:name="_Toc206578601"/>
      <w:r>
        <w:rPr>
          <w:rFonts w:hint="eastAsia"/>
        </w:rPr>
        <w:t>10.3 构造尺寸</w:t>
      </w:r>
      <w:bookmarkEnd w:id="87"/>
      <w:r>
        <w:rPr>
          <w:rFonts w:hint="eastAsia"/>
        </w:rPr>
        <w:t xml:space="preserve"> </w:t>
      </w:r>
    </w:p>
    <w:p w14:paraId="1876D0A4">
      <w:pPr>
        <w:spacing w:before="156"/>
        <w:ind w:firstLine="480"/>
      </w:pPr>
      <w:r>
        <w:rPr>
          <w:rFonts w:hint="eastAsia"/>
        </w:rPr>
        <w:t>10.3.1</w:t>
      </w:r>
      <w:r>
        <w:t xml:space="preserve"> </w:t>
      </w:r>
      <w:r>
        <w:rPr>
          <w:rFonts w:hint="eastAsia"/>
        </w:rPr>
        <w:t>规定锻锤基础与厂房基础之间的最小净距（≥500mm），是为了避免振动相互传递影响厂房结构安全。同时，也是为了防止多台锻锤同时工作时，振动通过地基相互传递产生叠加效应，从而放大振动响应，影响设备正常运行和基础安全。对于大型锻锤（10t及以上），其振动能量大，影响范围广，因此要求更大的间距或采用隔振基础以切断振动传播路径。进一步要求基础中心间距不小于30m或采用隔振基础，以控制振动叠加效应。</w:t>
      </w:r>
    </w:p>
    <w:p w14:paraId="06EF809A">
      <w:pPr>
        <w:spacing w:before="156"/>
        <w:ind w:firstLine="480"/>
      </w:pPr>
      <w:r>
        <w:rPr>
          <w:rFonts w:hint="eastAsia"/>
        </w:rPr>
        <w:t>10.3.2</w:t>
      </w:r>
      <w:r>
        <w:t xml:space="preserve"> 锻锤基础在冲击荷载作用下主要产生竖向振动。若锤击中心、基础底面形心与基组重心三心不重合，将产生附加的力矩，引发基础的不利回转振动，导致基础边缘的振动位移显著增大。</w:t>
      </w:r>
      <w:r>
        <w:rPr>
          <w:rFonts w:hint="eastAsia"/>
        </w:rPr>
        <w:t>由</w:t>
      </w:r>
      <w:r>
        <w:t>公式</w:t>
      </w:r>
      <w:r>
        <w:rPr>
          <w:rFonts w:hint="eastAsia"/>
        </w:rPr>
        <w:t>：</w:t>
      </w:r>
    </w:p>
    <w:p w14:paraId="36C6115B">
      <w:pPr>
        <w:spacing w:before="156"/>
        <w:ind w:firstLine="480"/>
      </w:pPr>
      <m:oMathPara>
        <m:oMath>
          <m:sSub>
            <m:sSubPr>
              <m:ctrlPr>
                <w:rPr>
                  <w:rFonts w:ascii="Cambria Math" w:hAnsi="Cambria Math"/>
                  <w:kern w:val="0"/>
                </w:rPr>
              </m:ctrlPr>
            </m:sSubPr>
            <m:e>
              <m:r>
                <m:rPr/>
                <w:rPr>
                  <w:rFonts w:ascii="Cambria Math" w:hAnsi="Cambria Math"/>
                  <w:kern w:val="0"/>
                </w:rPr>
                <m:t>u</m:t>
              </m:r>
              <m:ctrlPr>
                <w:rPr>
                  <w:rFonts w:ascii="Cambria Math" w:hAnsi="Cambria Math"/>
                  <w:kern w:val="0"/>
                </w:rPr>
              </m:ctrlPr>
            </m:e>
            <m:sub>
              <m:r>
                <m:rPr>
                  <m:sty m:val="p"/>
                </m:rPr>
                <w:rPr>
                  <w:rFonts w:ascii="Cambria Math" w:hAnsi="Cambria Math"/>
                  <w:kern w:val="0"/>
                </w:rPr>
                <m:t>ez</m:t>
              </m:r>
              <m:ctrlPr>
                <w:rPr>
                  <w:rFonts w:ascii="Cambria Math" w:hAnsi="Cambria Math"/>
                  <w:kern w:val="0"/>
                </w:rPr>
              </m:ctrlPr>
            </m:sub>
          </m:sSub>
          <m:r>
            <m:rPr/>
            <w:rPr>
              <w:rFonts w:ascii="Cambria Math" w:hAnsi="Cambria Math"/>
              <w:kern w:val="0"/>
            </w:rPr>
            <m:t>=</m:t>
          </m:r>
          <m:sSub>
            <m:sSubPr>
              <m:ctrlPr>
                <w:rPr>
                  <w:rFonts w:ascii="Cambria Math" w:hAnsi="Cambria Math"/>
                  <w:i/>
                  <w:kern w:val="0"/>
                </w:rPr>
              </m:ctrlPr>
            </m:sSubPr>
            <m:e>
              <m:r>
                <m:rPr/>
                <w:rPr>
                  <w:rFonts w:ascii="Cambria Math" w:hAnsi="Cambria Math"/>
                  <w:kern w:val="0"/>
                </w:rPr>
                <m:t>u</m:t>
              </m:r>
              <m:ctrlPr>
                <w:rPr>
                  <w:rFonts w:ascii="Cambria Math" w:hAnsi="Cambria Math"/>
                  <w:i/>
                  <w:kern w:val="0"/>
                </w:rPr>
              </m:ctrlPr>
            </m:e>
            <m:sub>
              <m:r>
                <m:rPr>
                  <m:sty m:val="p"/>
                </m:rPr>
                <w:rPr>
                  <w:rFonts w:ascii="Cambria Math" w:hAnsi="Cambria Math"/>
                  <w:kern w:val="0"/>
                </w:rPr>
                <m:t>z</m:t>
              </m:r>
              <m:ctrlPr>
                <w:rPr>
                  <w:rFonts w:ascii="Cambria Math" w:hAnsi="Cambria Math"/>
                  <w:i/>
                  <w:kern w:val="0"/>
                </w:rPr>
              </m:ctrlPr>
            </m:sub>
          </m:sSub>
          <m:r>
            <m:rPr/>
            <w:rPr>
              <w:rFonts w:ascii="Cambria Math" w:hAnsi="Cambria Math"/>
              <w:kern w:val="0"/>
            </w:rPr>
            <m:t>(1+3.0</m:t>
          </m:r>
          <m:f>
            <m:fPr>
              <m:ctrlPr>
                <w:rPr>
                  <w:rFonts w:ascii="Cambria Math" w:hAnsi="Cambria Math"/>
                  <w:i/>
                  <w:kern w:val="0"/>
                </w:rPr>
              </m:ctrlPr>
            </m:fPr>
            <m:num>
              <m:sSub>
                <m:sSubPr>
                  <m:ctrlPr>
                    <w:rPr>
                      <w:rFonts w:ascii="Cambria Math" w:hAnsi="Cambria Math"/>
                      <w:i/>
                      <w:kern w:val="0"/>
                    </w:rPr>
                  </m:ctrlPr>
                </m:sSubPr>
                <m:e>
                  <m:r>
                    <m:rPr/>
                    <w:rPr>
                      <w:rFonts w:ascii="Cambria Math" w:hAnsi="Cambria Math"/>
                      <w:kern w:val="0"/>
                    </w:rPr>
                    <m:t>e</m:t>
                  </m:r>
                  <m:ctrlPr>
                    <w:rPr>
                      <w:rFonts w:ascii="Cambria Math" w:hAnsi="Cambria Math"/>
                      <w:i/>
                      <w:kern w:val="0"/>
                    </w:rPr>
                  </m:ctrlPr>
                </m:e>
                <m:sub>
                  <m:r>
                    <m:rPr>
                      <m:sty m:val="p"/>
                    </m:rPr>
                    <w:rPr>
                      <w:rFonts w:ascii="Cambria Math" w:hAnsi="Cambria Math"/>
                      <w:kern w:val="0"/>
                    </w:rPr>
                    <m:t>h</m:t>
                  </m:r>
                  <m:ctrlPr>
                    <w:rPr>
                      <w:rFonts w:ascii="Cambria Math" w:hAnsi="Cambria Math"/>
                      <w:i/>
                      <w:kern w:val="0"/>
                    </w:rPr>
                  </m:ctrlPr>
                </m:sub>
              </m:sSub>
              <m:ctrlPr>
                <w:rPr>
                  <w:rFonts w:ascii="Cambria Math" w:hAnsi="Cambria Math"/>
                  <w:i/>
                  <w:kern w:val="0"/>
                </w:rPr>
              </m:ctrlPr>
            </m:num>
            <m:den>
              <m:sSub>
                <m:sSubPr>
                  <m:ctrlPr>
                    <w:rPr>
                      <w:rFonts w:ascii="Cambria Math" w:hAnsi="Cambria Math"/>
                      <w:i/>
                      <w:kern w:val="0"/>
                    </w:rPr>
                  </m:ctrlPr>
                </m:sSubPr>
                <m:e>
                  <m:r>
                    <m:rPr/>
                    <w:rPr>
                      <w:rFonts w:ascii="Cambria Math" w:hAnsi="Cambria Math"/>
                      <w:kern w:val="0"/>
                    </w:rPr>
                    <m:t>b</m:t>
                  </m:r>
                  <m:ctrlPr>
                    <w:rPr>
                      <w:rFonts w:ascii="Cambria Math" w:hAnsi="Cambria Math"/>
                      <w:i/>
                      <w:kern w:val="0"/>
                    </w:rPr>
                  </m:ctrlPr>
                </m:e>
                <m:sub>
                  <m:r>
                    <m:rPr>
                      <m:sty m:val="p"/>
                    </m:rPr>
                    <w:rPr>
                      <w:rFonts w:ascii="Cambria Math" w:hAnsi="Cambria Math"/>
                      <w:kern w:val="0"/>
                    </w:rPr>
                    <m:t>h</m:t>
                  </m:r>
                  <m:ctrlPr>
                    <w:rPr>
                      <w:rFonts w:ascii="Cambria Math" w:hAnsi="Cambria Math"/>
                      <w:i/>
                      <w:kern w:val="0"/>
                    </w:rPr>
                  </m:ctrlPr>
                </m:sub>
              </m:sSub>
              <m:ctrlPr>
                <w:rPr>
                  <w:rFonts w:ascii="Cambria Math" w:hAnsi="Cambria Math"/>
                  <w:i/>
                  <w:kern w:val="0"/>
                </w:rPr>
              </m:ctrlPr>
            </m:den>
          </m:f>
          <m:r>
            <m:rPr/>
            <w:rPr>
              <w:rFonts w:ascii="Cambria Math" w:hAnsi="Cambria Math"/>
              <w:kern w:val="0"/>
            </w:rPr>
            <m:t>)</m:t>
          </m:r>
        </m:oMath>
      </m:oMathPara>
    </w:p>
    <w:p w14:paraId="16F90470">
      <w:pPr>
        <w:spacing w:before="156"/>
        <w:ind w:firstLine="480"/>
      </w:pPr>
      <w:r>
        <w:rPr>
          <w:rFonts w:hint="eastAsia"/>
        </w:rPr>
        <w:t>可以</w:t>
      </w:r>
      <w:r>
        <w:t>定量地描述了偏心距</w:t>
      </w:r>
      <m:oMath>
        <m:sSub>
          <m:sSubPr>
            <m:ctrlPr>
              <w:rPr>
                <w:rFonts w:ascii="Cambria Math" w:hAnsi="Cambria Math"/>
                <w:i/>
                <w:kern w:val="0"/>
              </w:rPr>
            </m:ctrlPr>
          </m:sSubPr>
          <m:e>
            <m:r>
              <m:rPr/>
              <w:rPr>
                <w:rFonts w:ascii="Cambria Math" w:hAnsi="Cambria Math"/>
                <w:kern w:val="0"/>
              </w:rPr>
              <m:t>e</m:t>
            </m:r>
            <m:ctrlPr>
              <w:rPr>
                <w:rFonts w:ascii="Cambria Math" w:hAnsi="Cambria Math"/>
                <w:i/>
                <w:kern w:val="0"/>
              </w:rPr>
            </m:ctrlPr>
          </m:e>
          <m:sub>
            <m:r>
              <m:rPr>
                <m:sty m:val="p"/>
              </m:rPr>
              <w:rPr>
                <w:rFonts w:ascii="Cambria Math" w:hAnsi="Cambria Math"/>
                <w:kern w:val="0"/>
              </w:rPr>
              <m:t>h</m:t>
            </m:r>
            <m:ctrlPr>
              <w:rPr>
                <w:rFonts w:ascii="Cambria Math" w:hAnsi="Cambria Math"/>
                <w:i/>
                <w:kern w:val="0"/>
              </w:rPr>
            </m:ctrlPr>
          </m:sub>
        </m:sSub>
      </m:oMath>
      <w:r>
        <w:t>对边缘振动位移的放大效应，要求偏心距控制在基础边长</w:t>
      </w:r>
      <m:oMath>
        <m:sSub>
          <m:sSubPr>
            <m:ctrlPr>
              <w:rPr>
                <w:rFonts w:ascii="Cambria Math" w:hAnsi="Cambria Math"/>
                <w:i/>
                <w:kern w:val="0"/>
              </w:rPr>
            </m:ctrlPr>
          </m:sSubPr>
          <m:e>
            <m:r>
              <m:rPr/>
              <w:rPr>
                <w:rFonts w:ascii="Cambria Math" w:hAnsi="Cambria Math"/>
                <w:kern w:val="0"/>
              </w:rPr>
              <m:t>b</m:t>
            </m:r>
            <m:ctrlPr>
              <w:rPr>
                <w:rFonts w:ascii="Cambria Math" w:hAnsi="Cambria Math"/>
                <w:i/>
                <w:kern w:val="0"/>
              </w:rPr>
            </m:ctrlPr>
          </m:e>
          <m:sub>
            <m:r>
              <m:rPr>
                <m:sty m:val="p"/>
              </m:rPr>
              <w:rPr>
                <w:rFonts w:ascii="Cambria Math" w:hAnsi="Cambria Math"/>
                <w:kern w:val="0"/>
              </w:rPr>
              <m:t>h</m:t>
            </m:r>
            <m:ctrlPr>
              <w:rPr>
                <w:rFonts w:ascii="Cambria Math" w:hAnsi="Cambria Math"/>
                <w:i/>
                <w:kern w:val="0"/>
              </w:rPr>
            </m:ctrlPr>
          </m:sub>
        </m:sSub>
      </m:oMath>
      <w:r>
        <w:t>的5%以内，是为了将这种不利影响限制在工程可接受的范围内。</w:t>
      </w:r>
    </w:p>
    <w:p w14:paraId="2510006B">
      <w:pPr>
        <w:spacing w:before="156"/>
        <w:ind w:firstLine="480"/>
      </w:pPr>
      <w:r>
        <w:rPr>
          <w:rFonts w:hint="eastAsia"/>
        </w:rPr>
        <w:t>10.3.3</w:t>
      </w:r>
      <w:r>
        <w:t xml:space="preserve"> </w:t>
      </w:r>
      <w:r>
        <w:rPr>
          <w:rFonts w:hint="eastAsia"/>
        </w:rPr>
        <w:t>锻锤设备下垫层是指设备坑下铺设的</w:t>
      </w:r>
      <w:r>
        <w:rPr>
          <w:shd w:val="clear" w:color="auto" w:fill="FFFFFF"/>
        </w:rPr>
        <w:t>木垫或橡胶垫</w:t>
      </w:r>
      <w:r>
        <w:rPr>
          <w:rFonts w:hint="eastAsia"/>
          <w:shd w:val="clear" w:color="auto" w:fill="FFFFFF"/>
        </w:rPr>
        <w:t>，</w:t>
      </w:r>
      <w:r>
        <w:rPr>
          <w:shd w:val="clear" w:color="auto" w:fill="FFFFFF"/>
        </w:rPr>
        <w:t>是锻锤设备与混凝土基础之间的关键缓冲层。其首要功能是吸收和分散巨大的冲击能量，避免混凝土因冲击应力过大而破坏。垫层厚度需根据锤头冲击能量（体现为</w:t>
      </w:r>
      <m:oMath>
        <m:sSub>
          <m:sSubPr>
            <m:ctrlPr>
              <w:rPr>
                <w:rFonts w:ascii="Cambria Math" w:hAnsi="Cambria Math"/>
                <w:i/>
                <w:kern w:val="0"/>
              </w:rPr>
            </m:ctrlPr>
          </m:sSubPr>
          <m:e>
            <m:r>
              <m:rPr/>
              <w:rPr>
                <w:rFonts w:ascii="Cambria Math" w:hAnsi="Cambria Math"/>
                <w:kern w:val="0"/>
              </w:rPr>
              <m:t>G</m:t>
            </m:r>
            <m:ctrlPr>
              <w:rPr>
                <w:rFonts w:ascii="Cambria Math" w:hAnsi="Cambria Math"/>
                <w:i/>
                <w:kern w:val="0"/>
              </w:rPr>
            </m:ctrlPr>
          </m:e>
          <m:sub>
            <m:r>
              <m:rPr>
                <m:sty m:val="p"/>
              </m:rPr>
              <w:rPr>
                <w:rFonts w:ascii="Cambria Math" w:hAnsi="Cambria Math"/>
                <w:kern w:val="0"/>
              </w:rPr>
              <m:t>o</m:t>
            </m:r>
            <m:ctrlPr>
              <w:rPr>
                <w:rFonts w:ascii="Cambria Math" w:hAnsi="Cambria Math"/>
                <w:i/>
                <w:kern w:val="0"/>
              </w:rPr>
            </m:ctrlPr>
          </m:sub>
        </m:sSub>
        <m:sSubSup>
          <m:sSubSupPr>
            <m:ctrlPr>
              <w:rPr>
                <w:rFonts w:ascii="Cambria Math" w:hAnsi="Cambria Math"/>
                <w:i/>
                <w:kern w:val="0"/>
              </w:rPr>
            </m:ctrlPr>
          </m:sSubSupPr>
          <m:e>
            <m:r>
              <m:rPr/>
              <w:rPr>
                <w:rFonts w:ascii="Cambria Math" w:hAnsi="Cambria Math"/>
                <w:kern w:val="0"/>
              </w:rPr>
              <m:t>v</m:t>
            </m:r>
            <m:ctrlPr>
              <w:rPr>
                <w:rFonts w:ascii="Cambria Math" w:hAnsi="Cambria Math"/>
                <w:i/>
                <w:kern w:val="0"/>
              </w:rPr>
            </m:ctrlPr>
          </m:e>
          <m:sub>
            <m:r>
              <m:rPr>
                <m:sty m:val="p"/>
              </m:rPr>
              <w:rPr>
                <w:rFonts w:ascii="Cambria Math" w:hAnsi="Cambria Math"/>
                <w:kern w:val="0"/>
              </w:rPr>
              <m:t>o</m:t>
            </m:r>
            <m:ctrlPr>
              <w:rPr>
                <w:rFonts w:ascii="Cambria Math" w:hAnsi="Cambria Math"/>
                <w:i/>
                <w:kern w:val="0"/>
              </w:rPr>
            </m:ctrlPr>
          </m:sub>
          <m:sup>
            <m:r>
              <m:rPr/>
              <w:rPr>
                <w:rFonts w:ascii="Cambria Math" w:hAnsi="Cambria Math"/>
                <w:kern w:val="0"/>
              </w:rPr>
              <m:t>2</m:t>
            </m:r>
            <m:ctrlPr>
              <w:rPr>
                <w:rFonts w:ascii="Cambria Math" w:hAnsi="Cambria Math"/>
                <w:i/>
                <w:kern w:val="0"/>
              </w:rPr>
            </m:ctrlPr>
          </m:sup>
        </m:sSubSup>
      </m:oMath>
      <w:r>
        <w:rPr>
          <w:shd w:val="clear" w:color="auto" w:fill="FFFFFF"/>
        </w:rPr>
        <w:t>）和垫层材料的承压强度</w:t>
      </w:r>
      <w:r>
        <w:rPr>
          <w:rFonts w:eastAsia="黑体"/>
          <w:i/>
          <w:kern w:val="0"/>
        </w:rPr>
        <w:t>f</w:t>
      </w:r>
      <w:r>
        <w:rPr>
          <w:rFonts w:eastAsia="黑体"/>
          <w:kern w:val="0"/>
          <w:vertAlign w:val="subscript"/>
        </w:rPr>
        <w:t>c</w:t>
      </w:r>
      <w:r>
        <w:rPr>
          <w:shd w:val="clear" w:color="auto" w:fill="FFFFFF"/>
        </w:rPr>
        <w:t>与弹性模量</w:t>
      </w:r>
      <w:r>
        <w:rPr>
          <w:i/>
          <w:kern w:val="0"/>
        </w:rPr>
        <w:t>E</w:t>
      </w:r>
      <w:r>
        <w:rPr>
          <w:shd w:val="clear" w:color="auto" w:fill="FFFFFF"/>
        </w:rPr>
        <w:t>经计算确定，同时其最小厚度必须满足表10.3.3的规定，以确保有足够的变形空间来耗能，并为长期使用后可能发生的压缩预留余量。</w:t>
      </w:r>
    </w:p>
    <w:p w14:paraId="77D77098">
      <w:pPr>
        <w:spacing w:before="156"/>
        <w:ind w:firstLine="480"/>
      </w:pPr>
      <w:r>
        <w:rPr>
          <w:rFonts w:hint="eastAsia"/>
        </w:rPr>
        <w:t>10.3.4</w:t>
      </w:r>
      <w:r>
        <w:t xml:space="preserve"> </w:t>
      </w:r>
      <w:r>
        <w:rPr>
          <w:rFonts w:hint="eastAsia"/>
        </w:rPr>
        <w:t>垫层铺设方式应符合下列规定：</w:t>
      </w:r>
    </w:p>
    <w:p w14:paraId="6D163C60">
      <w:pPr>
        <w:spacing w:before="156"/>
        <w:ind w:firstLine="480"/>
      </w:pPr>
      <w:r>
        <w:rPr>
          <w:rFonts w:hint="eastAsia"/>
        </w:rPr>
        <w:t>1</w:t>
      </w:r>
      <w:r>
        <w:t xml:space="preserve"> </w:t>
      </w:r>
      <w:r>
        <w:rPr>
          <w:rFonts w:hint="eastAsia"/>
        </w:rPr>
        <w:t>横放木垫：要求上下层交叉成十字形并用螺栓拧紧，是为了将冲击荷载有效地扩散到更大面积，防止垫层局部失稳或发生水平滑移，确保其整体工作性能。</w:t>
      </w:r>
    </w:p>
    <w:p w14:paraId="585670F2">
      <w:pPr>
        <w:spacing w:before="156"/>
        <w:ind w:firstLine="480"/>
      </w:pPr>
      <w:r>
        <w:rPr>
          <w:rFonts w:hint="eastAsia"/>
        </w:rPr>
        <w:t>2</w:t>
      </w:r>
      <w:r>
        <w:t xml:space="preserve"> </w:t>
      </w:r>
      <w:r>
        <w:rPr>
          <w:rFonts w:hint="eastAsia"/>
        </w:rPr>
        <w:t>竖放木垫：先铺一层横垫木可提供一个平整的基面，使立砌的方木受力均匀，提高垫层的整体稳定性。</w:t>
      </w:r>
    </w:p>
    <w:p w14:paraId="273613F7">
      <w:pPr>
        <w:spacing w:before="156"/>
        <w:ind w:firstLine="480"/>
      </w:pPr>
      <w:r>
        <w:rPr>
          <w:rFonts w:hint="eastAsia"/>
        </w:rPr>
        <w:t>3</w:t>
      </w:r>
      <w:r>
        <w:t xml:space="preserve"> </w:t>
      </w:r>
      <w:r>
        <w:rPr>
          <w:rFonts w:hint="eastAsia"/>
        </w:rPr>
        <w:t>橡胶垫：要求满铺且各层通缝迭放，是为了保证垫层刚度均匀，避免因布置不当导致砧座受力不均而发生倾斜。</w:t>
      </w:r>
    </w:p>
    <w:p w14:paraId="30E97E15">
      <w:pPr>
        <w:spacing w:before="156"/>
        <w:ind w:firstLine="480"/>
      </w:pPr>
      <w:r>
        <w:rPr>
          <w:rFonts w:hint="eastAsia"/>
        </w:rPr>
        <w:t>10.3.5</w:t>
      </w:r>
      <w:r>
        <w:t xml:space="preserve"> </w:t>
      </w:r>
      <w:r>
        <w:rPr>
          <w:rFonts w:hint="eastAsia"/>
        </w:rPr>
        <w:t>砧座下基础最小厚度应符合下列要求：</w:t>
      </w:r>
    </w:p>
    <w:p w14:paraId="40121428">
      <w:pPr>
        <w:spacing w:before="156"/>
        <w:ind w:firstLine="480"/>
      </w:pPr>
      <w:r>
        <w:rPr>
          <w:rFonts w:hint="eastAsia"/>
        </w:rPr>
        <w:t>砧座垫层下方的混凝土基础部分直接承受由垫层传递来的扩散后的冲击应力。该部分必须有足够的厚度，以确保冲击应力在传递到基础下部及地基之前已充分衰减至混凝土的抗压强度以下。表中规定的不同吨位锻锤对应的最小厚度，是防止基础混凝土发生冲切或压碎破坏的基本构造要求。</w:t>
      </w:r>
    </w:p>
    <w:p w14:paraId="4C4E0247">
      <w:pPr>
        <w:spacing w:before="156"/>
        <w:ind w:firstLine="480"/>
      </w:pPr>
      <w:r>
        <w:rPr>
          <w:rFonts w:hint="eastAsia"/>
        </w:rPr>
        <w:t>砧座垫层下基础最小厚度的规定是为了保证基础具有足够的刚度和强度，避免冲击荷载导致基础开裂或破坏。厚度随锻锤吨位增加而增大，体现分级控制原则。</w:t>
      </w:r>
    </w:p>
    <w:p w14:paraId="4408B3F8">
      <w:pPr>
        <w:spacing w:before="156"/>
        <w:ind w:firstLine="480"/>
      </w:pPr>
      <w:r>
        <w:rPr>
          <w:rFonts w:hint="eastAsia"/>
        </w:rPr>
        <w:t>10.3.6</w:t>
      </w:r>
      <w:r>
        <w:t xml:space="preserve"> </w:t>
      </w:r>
      <w:r>
        <w:rPr>
          <w:rFonts w:hint="eastAsia"/>
        </w:rPr>
        <w:t>配筋规定旨在提高基础的抗冲击和抗疲劳性能。上部水平钢筋网用于抵抗冲击拉应力，竖向钢筋网用于约束砧座凹坑周边混凝土，底面钢筋网增强整体抗弯能力。钢筋直径、间距和层数根据锻锤吨位分级设置，体现差异化设计。锻锤基础配筋设计遵循“抗御冲击，控制裂缝”的原则。</w:t>
      </w:r>
    </w:p>
    <w:p w14:paraId="4BC3B044">
      <w:pPr>
        <w:spacing w:before="156"/>
        <w:ind w:firstLine="480"/>
      </w:pPr>
      <w:r>
        <w:rPr>
          <w:rFonts w:hint="eastAsia"/>
        </w:rPr>
        <w:t>1</w:t>
      </w:r>
      <w:r>
        <w:t xml:space="preserve"> </w:t>
      </w:r>
      <w:r>
        <w:rPr>
          <w:rFonts w:hint="eastAsia"/>
        </w:rPr>
        <w:t>上部水平钢筋网：位于砧座凹坑底部，直接承受冲击引起的弯曲拉应力。多层布置且上密下疏，是为了重点加强高应力区。钢筋伸过内壁长度要求（≥50d）是为了保证钢筋的有效锚固，防止从混凝土中被拔出。</w:t>
      </w:r>
    </w:p>
    <w:p w14:paraId="2235A7D2">
      <w:pPr>
        <w:spacing w:before="156"/>
        <w:ind w:firstLine="480"/>
      </w:pPr>
      <w:r>
        <w:rPr>
          <w:rFonts w:hint="eastAsia"/>
        </w:rPr>
        <w:t>2</w:t>
      </w:r>
      <w:r>
        <w:t xml:space="preserve"> </w:t>
      </w:r>
      <w:r>
        <w:rPr>
          <w:rFonts w:hint="eastAsia"/>
        </w:rPr>
        <w:t>凹坑四周竖向钢筋网：用于抵抗侧向土压力及冲击引起的水平力，并约束混凝土，控制裂缝发展。</w:t>
      </w:r>
    </w:p>
    <w:p w14:paraId="19EECFC8">
      <w:pPr>
        <w:spacing w:before="156"/>
        <w:ind w:firstLine="480"/>
      </w:pPr>
      <w:r>
        <w:rPr>
          <w:rFonts w:hint="eastAsia"/>
        </w:rPr>
        <w:t>3</w:t>
      </w:r>
      <w:r>
        <w:t xml:space="preserve"> </w:t>
      </w:r>
      <w:r>
        <w:rPr>
          <w:rFonts w:hint="eastAsia"/>
        </w:rPr>
        <w:t>基础底面水平钢筋网：抵抗基础整体弯曲产生的拉应力。</w:t>
      </w:r>
    </w:p>
    <w:p w14:paraId="6FB23BE1">
      <w:pPr>
        <w:spacing w:before="156"/>
        <w:ind w:firstLine="480"/>
      </w:pPr>
      <w:r>
        <w:rPr>
          <w:rFonts w:hint="eastAsia"/>
        </w:rPr>
        <w:t>4</w:t>
      </w:r>
      <w:r>
        <w:t xml:space="preserve"> </w:t>
      </w:r>
      <w:r>
        <w:rPr>
          <w:rFonts w:hint="eastAsia"/>
        </w:rPr>
        <w:t>侧面钢筋网：防止表面收缩裂缝和温度裂缝，并增强基础的整体性。</w:t>
      </w:r>
    </w:p>
    <w:p w14:paraId="330FF422">
      <w:pPr>
        <w:spacing w:before="156"/>
        <w:ind w:firstLine="480"/>
      </w:pPr>
      <w:r>
        <w:rPr>
          <w:rFonts w:hint="eastAsia"/>
        </w:rPr>
        <w:t>5</w:t>
      </w:r>
      <w:r>
        <w:t xml:space="preserve"> </w:t>
      </w:r>
      <w:r>
        <w:rPr>
          <w:rFonts w:hint="eastAsia"/>
        </w:rPr>
        <w:t>竖向水平钢筋网（≥5t锻锤）：在大吨位锻锤基础中，砧座下区域处于复杂的三向应力状态，配置此类钢筋旨在增强该区域的抗剪和抗冲击能力。</w:t>
      </w:r>
    </w:p>
    <w:p w14:paraId="517D4716">
      <w:pPr>
        <w:spacing w:before="156"/>
        <w:ind w:firstLine="480"/>
      </w:pPr>
      <w:r>
        <w:rPr>
          <w:rFonts w:hint="eastAsia"/>
        </w:rPr>
        <w:t>6</w:t>
      </w:r>
      <w:r>
        <w:t xml:space="preserve"> </w:t>
      </w:r>
      <w:r>
        <w:rPr>
          <w:rFonts w:hint="eastAsia"/>
        </w:rPr>
        <w:t>加强筋：在应力集中的转角、孔洞等部位增设斜向钢筋，是防止裂缝萌生和扩展的重要构造措施。</w:t>
      </w:r>
    </w:p>
    <w:p w14:paraId="67348FB1">
      <w:pPr>
        <w:spacing w:before="156"/>
        <w:ind w:firstLine="480"/>
      </w:pPr>
      <w:r>
        <w:rPr>
          <w:rFonts w:hint="eastAsia"/>
        </w:rPr>
        <w:t>10.3.7</w:t>
      </w:r>
      <w:r>
        <w:t xml:space="preserve"> </w:t>
      </w:r>
      <w:r>
        <w:rPr>
          <w:rFonts w:hint="eastAsia"/>
        </w:rPr>
        <w:t>砧座与凹坑内壁之间的间隙用于安装调整和适应热胀冷缩。采用沥青麻丝填实并表层灌沥青。砧座周边间隙填充沥青麻丝并浇灌沥青，既可允许微小位移，又能防止水分、杂物进入，延长垫层使用寿命。</w:t>
      </w:r>
    </w:p>
    <w:p w14:paraId="0A6CB917">
      <w:pPr>
        <w:spacing w:before="156"/>
        <w:ind w:firstLine="480"/>
      </w:pPr>
      <w:r>
        <w:rPr>
          <w:rFonts w:hint="eastAsia"/>
        </w:rPr>
        <w:t>10.3.8</w:t>
      </w:r>
      <w:r>
        <w:t xml:space="preserve"> </w:t>
      </w:r>
      <w:r>
        <w:rPr>
          <w:rFonts w:hint="eastAsia"/>
        </w:rPr>
        <w:t>地脚螺栓承受设备工作时的巨大动荷载。足够的锚固长度（25d~20d）是保证其不被拔出的根本。规定的边缘距离是为了防止混凝土在螺栓拉力下发生劈裂破坏。若距离不足，需配置钢筋网加强。预埋件的高精度要求（±5mm）是保证锻锤设备准确安装就位的前提。</w:t>
      </w:r>
    </w:p>
    <w:p w14:paraId="77654FBF">
      <w:pPr>
        <w:spacing w:before="156"/>
        <w:ind w:firstLine="480"/>
      </w:pPr>
      <w:r>
        <w:rPr>
          <w:rFonts w:hint="eastAsia"/>
        </w:rPr>
        <w:t>10.3.9</w:t>
      </w:r>
      <w:r>
        <w:t xml:space="preserve"> </w:t>
      </w:r>
      <w:r>
        <w:rPr>
          <w:rFonts w:hint="eastAsia"/>
        </w:rPr>
        <w:t>规定了基础及预埋件施工应符合有关国家现行标准的要求，确保设计、施工、验收全过程质量控制。</w:t>
      </w:r>
    </w:p>
    <w:p w14:paraId="0FC5716D">
      <w:pPr>
        <w:pStyle w:val="4"/>
        <w:spacing w:before="156"/>
      </w:pPr>
      <w:bookmarkStart w:id="88" w:name="_Toc206578602"/>
      <w:r>
        <w:rPr>
          <w:rFonts w:hint="eastAsia"/>
        </w:rPr>
        <w:t>10.4 地基处理</w:t>
      </w:r>
      <w:bookmarkEnd w:id="88"/>
      <w:r>
        <w:rPr>
          <w:rFonts w:hint="eastAsia"/>
        </w:rPr>
        <w:t xml:space="preserve"> </w:t>
      </w:r>
    </w:p>
    <w:p w14:paraId="4A7EC928">
      <w:pPr>
        <w:spacing w:before="156"/>
        <w:ind w:firstLine="480"/>
      </w:pPr>
      <w:r>
        <w:t>1</w:t>
      </w:r>
      <w:r>
        <w:rPr>
          <w:rFonts w:hint="eastAsia"/>
        </w:rPr>
        <w:t>0</w:t>
      </w:r>
      <w:r>
        <w:t xml:space="preserve">.4.1 </w:t>
      </w:r>
      <w:r>
        <w:rPr>
          <w:rFonts w:hint="eastAsia"/>
        </w:rPr>
        <w:t>特殊地质条件处理应符合下列规定：</w:t>
      </w:r>
    </w:p>
    <w:p w14:paraId="7CF7D486">
      <w:pPr>
        <w:spacing w:before="156"/>
        <w:ind w:firstLine="480"/>
      </w:pPr>
      <w:r>
        <w:rPr>
          <w:rFonts w:hint="eastAsia"/>
        </w:rPr>
        <w:t>1</w:t>
      </w:r>
      <w:r>
        <w:t xml:space="preserve"> </w:t>
      </w:r>
      <w:r>
        <w:rPr>
          <w:rFonts w:hint="eastAsia"/>
        </w:rPr>
        <w:t>软弱土、液化土、湿陷性黄土等不良地质条件下，地基承载力不足、易发生沉降或液化，严重影响锻锤基础的稳定性和使用安全。因此，必须采取桩基、换填或注浆加固等措施。桩基间距取桩径的4~5倍，是基于群桩效应和承载力扩散的工程经验，确保桩基协同工作，避免应力重叠。</w:t>
      </w:r>
    </w:p>
    <w:p w14:paraId="35B98F44">
      <w:pPr>
        <w:spacing w:before="156"/>
        <w:ind w:firstLine="480"/>
      </w:pPr>
      <w:r>
        <w:rPr>
          <w:rFonts w:hint="eastAsia"/>
        </w:rPr>
        <w:t>2</w:t>
      </w:r>
      <w:r>
        <w:t xml:space="preserve"> </w:t>
      </w:r>
      <w:r>
        <w:rPr>
          <w:rFonts w:hint="eastAsia"/>
        </w:rPr>
        <w:t>地基承载力不足时，可采用人工地基、扩大基础底面积、筏板基础等方法，以提高整体刚度和均匀性，减少不均匀沉降。</w:t>
      </w:r>
    </w:p>
    <w:p w14:paraId="7635C7AF">
      <w:pPr>
        <w:spacing w:before="156"/>
        <w:ind w:firstLine="480"/>
      </w:pPr>
      <w:r>
        <w:rPr>
          <w:rFonts w:hint="eastAsia"/>
        </w:rPr>
        <w:t>10.4.2</w:t>
      </w:r>
      <w:r>
        <w:t xml:space="preserve"> </w:t>
      </w:r>
      <w:r>
        <w:rPr>
          <w:rFonts w:hint="eastAsia"/>
        </w:rPr>
        <w:t>防振措施宜符合下列规定：</w:t>
      </w:r>
    </w:p>
    <w:p w14:paraId="083A71D3">
      <w:pPr>
        <w:spacing w:before="156"/>
        <w:ind w:firstLine="480"/>
      </w:pPr>
      <w:r>
        <w:rPr>
          <w:rFonts w:hint="eastAsia"/>
        </w:rPr>
        <w:t>1</w:t>
      </w:r>
      <w:r>
        <w:t xml:space="preserve"> </w:t>
      </w:r>
      <w:r>
        <w:rPr>
          <w:rFonts w:hint="eastAsia"/>
        </w:rPr>
        <w:t>防振沟的设置可有效阻断振动波传播，减少对周边结构和环境的影响。沟宽不小于300mm 是基于振动波衰减和施工可行性的综合考虑。</w:t>
      </w:r>
    </w:p>
    <w:p w14:paraId="3B2A8773">
      <w:pPr>
        <w:spacing w:before="156"/>
        <w:ind w:firstLine="480"/>
      </w:pPr>
      <w:r>
        <w:rPr>
          <w:rFonts w:hint="eastAsia"/>
        </w:rPr>
        <w:t>2</w:t>
      </w:r>
      <w:r>
        <w:t xml:space="preserve"> </w:t>
      </w:r>
      <w:r>
        <w:rPr>
          <w:rFonts w:hint="eastAsia"/>
        </w:rPr>
        <w:t>砂石垫层具有良好的能量吸收和分布能力，厚度不小于300mm 可有效减小冲击荷载对地基的直接作用，提高基础的抗振性能。</w:t>
      </w:r>
    </w:p>
    <w:p w14:paraId="53303083">
      <w:pPr>
        <w:spacing w:before="156"/>
        <w:ind w:firstLine="480"/>
      </w:pPr>
      <w:r>
        <w:rPr>
          <w:rFonts w:hint="eastAsia"/>
        </w:rPr>
        <w:t>10.4.3</w:t>
      </w:r>
      <w:r>
        <w:t xml:space="preserve"> </w:t>
      </w:r>
      <w:r>
        <w:rPr>
          <w:rFonts w:hint="eastAsia"/>
        </w:rPr>
        <w:t>回填土施工应符合下列规定：回填土应分层夯实，每层厚度不超过300mm，压实系数不小于0.94，以确保回填土的密实度和均匀性，避免因回填不实导致的基础不均匀沉降或侧向位移。</w:t>
      </w:r>
    </w:p>
    <w:p w14:paraId="14B5E3CD">
      <w:pPr>
        <w:widowControl w:val="0"/>
        <w:spacing w:before="156" w:line="240" w:lineRule="auto"/>
        <w:ind w:firstLine="0" w:firstLineChars="0"/>
        <w:jc w:val="center"/>
        <w:outlineLvl w:val="2"/>
        <w:rPr>
          <w:bCs/>
          <w:sz w:val="28"/>
          <w:szCs w:val="32"/>
        </w:rPr>
      </w:pPr>
      <w:bookmarkStart w:id="89" w:name="_Toc206578603"/>
      <w:r>
        <w:rPr>
          <w:rFonts w:hint="eastAsia"/>
          <w:bCs/>
          <w:sz w:val="28"/>
          <w:szCs w:val="32"/>
        </w:rPr>
        <w:t>10.5 施工与验收</w:t>
      </w:r>
      <w:bookmarkEnd w:id="89"/>
    </w:p>
    <w:p w14:paraId="168B4DCC">
      <w:pPr>
        <w:spacing w:before="156"/>
        <w:ind w:firstLine="482"/>
      </w:pPr>
      <w:r>
        <w:rPr>
          <w:rFonts w:hint="eastAsia"/>
          <w:b/>
        </w:rPr>
        <w:t>10.</w:t>
      </w:r>
      <w:r>
        <w:rPr>
          <w:b/>
        </w:rPr>
        <w:t xml:space="preserve">5.1 </w:t>
      </w:r>
      <w:r>
        <w:rPr>
          <w:rFonts w:hint="eastAsia"/>
        </w:rPr>
        <w:t>施工缝设置与表面平整度控制宜符合下列规定：</w:t>
      </w:r>
    </w:p>
    <w:p w14:paraId="7934555C">
      <w:pPr>
        <w:spacing w:before="156"/>
        <w:ind w:firstLine="480"/>
      </w:pPr>
      <w:r>
        <w:rPr>
          <w:rFonts w:hint="eastAsia"/>
        </w:rPr>
        <w:t>1</w:t>
      </w:r>
      <w:r>
        <w:t xml:space="preserve"> </w:t>
      </w:r>
      <w:r>
        <w:rPr>
          <w:rFonts w:hint="eastAsia"/>
        </w:rPr>
        <w:t>砧座垫层下1.5m范围内严禁设置施工缝，是为了避免该区域在冲击荷载下出现薄弱面，导致裂缝扩展。</w:t>
      </w:r>
    </w:p>
    <w:p w14:paraId="25962D90">
      <w:pPr>
        <w:spacing w:before="156"/>
        <w:ind w:firstLine="480"/>
      </w:pPr>
      <w:r>
        <w:rPr>
          <w:rFonts w:hint="eastAsia"/>
        </w:rPr>
        <w:t>2</w:t>
      </w:r>
      <w:r>
        <w:t xml:space="preserve"> </w:t>
      </w:r>
      <w:r>
        <w:rPr>
          <w:rFonts w:hint="eastAsia"/>
        </w:rPr>
        <w:t>表面一次抹平：防止二次找平层与基层粘结不牢，在振动下剥离，影响砧座安装精度和设备稳定性。</w:t>
      </w:r>
    </w:p>
    <w:p w14:paraId="0D3274B0">
      <w:pPr>
        <w:spacing w:before="156"/>
        <w:ind w:firstLine="480"/>
      </w:pPr>
      <w:r>
        <w:rPr>
          <w:rFonts w:hint="eastAsia"/>
        </w:rPr>
        <w:t>3</w:t>
      </w:r>
      <w:r>
        <w:t xml:space="preserve"> </w:t>
      </w:r>
      <w:r>
        <w:rPr>
          <w:rFonts w:hint="eastAsia"/>
        </w:rPr>
        <w:t>倾斜度控制：木垫与橡胶垫对基础平整度要求不同，橡胶垫更敏感，故允许偏差更小（0.5‰），以保证隔振效果。</w:t>
      </w:r>
    </w:p>
    <w:p w14:paraId="05E4DA79">
      <w:pPr>
        <w:spacing w:before="156"/>
        <w:ind w:firstLine="480"/>
      </w:pPr>
      <w:r>
        <w:rPr>
          <w:rFonts w:hint="eastAsia"/>
        </w:rPr>
        <w:t>10.5.2</w:t>
      </w:r>
      <w:r>
        <w:t xml:space="preserve"> </w:t>
      </w:r>
      <w:r>
        <w:rPr>
          <w:rFonts w:hint="eastAsia"/>
        </w:rPr>
        <w:t>施工质量控制要点为：</w:t>
      </w:r>
    </w:p>
    <w:p w14:paraId="4A3B0594">
      <w:pPr>
        <w:spacing w:before="156"/>
        <w:ind w:firstLine="480"/>
      </w:pPr>
      <w:r>
        <w:rPr>
          <w:rFonts w:hint="eastAsia"/>
        </w:rPr>
        <w:t>1</w:t>
      </w:r>
      <w:r>
        <w:t xml:space="preserve"> </w:t>
      </w:r>
      <w:r>
        <w:rPr>
          <w:rFonts w:hint="eastAsia"/>
        </w:rPr>
        <w:t>混凝土浇筑与养护：连续浇筑、充分振捣：避免冷缝和内部空洞，确保混凝土密实性和整体性。养护时间为14天，应保证混凝土强度发展和耐久性，尤其对于大体积基础防止早期开裂。</w:t>
      </w:r>
    </w:p>
    <w:p w14:paraId="7EDD36DD">
      <w:pPr>
        <w:spacing w:before="156"/>
        <w:ind w:firstLine="480"/>
      </w:pPr>
      <w:r>
        <w:rPr>
          <w:rFonts w:hint="eastAsia"/>
        </w:rPr>
        <w:t>3</w:t>
      </w:r>
      <w:r>
        <w:t xml:space="preserve"> </w:t>
      </w:r>
      <w:r>
        <w:rPr>
          <w:rFonts w:hint="eastAsia"/>
        </w:rPr>
        <w:t>隔振系统安装：水平度校准：确保各隔振元件受力均匀，避免偏载导致早期失效。初始压缩量检查：验证隔振器安装是否到位，是否符合设计预压要求。</w:t>
      </w:r>
    </w:p>
    <w:p w14:paraId="1DB820D2">
      <w:pPr>
        <w:spacing w:before="156"/>
        <w:ind w:firstLine="480"/>
      </w:pPr>
      <w:r>
        <w:rPr>
          <w:rFonts w:hint="eastAsia"/>
        </w:rPr>
        <w:t>4</w:t>
      </w:r>
      <w:r>
        <w:t xml:space="preserve"> </w:t>
      </w:r>
      <w:r>
        <w:rPr>
          <w:rFonts w:hint="eastAsia"/>
        </w:rPr>
        <w:t>预埋件与地脚螺栓：位置偏差≤±5mm：保证设备安装精度，避免安装应力。埋深≥25d：确保锚固可靠性，防止振动松动。</w:t>
      </w:r>
    </w:p>
    <w:p w14:paraId="14635DCE">
      <w:pPr>
        <w:spacing w:before="156"/>
        <w:ind w:firstLine="480"/>
      </w:pPr>
      <w:r>
        <w:rPr>
          <w:rFonts w:hint="eastAsia"/>
        </w:rPr>
        <w:t>5</w:t>
      </w:r>
      <w:r>
        <w:t xml:space="preserve"> </w:t>
      </w:r>
      <w:r>
        <w:rPr>
          <w:rFonts w:hint="eastAsia"/>
        </w:rPr>
        <w:t>钢筋工程：加强筋设置：在转角和孔洞处增设斜筋，防止应力集中导致的裂缝。双层钢筋网间距≤200mm：提高抗冲击和抗裂性能。</w:t>
      </w:r>
    </w:p>
    <w:p w14:paraId="1CB84182">
      <w:pPr>
        <w:spacing w:before="156"/>
        <w:ind w:firstLine="480"/>
      </w:pPr>
      <w:r>
        <w:rPr>
          <w:rFonts w:hint="eastAsia"/>
        </w:rPr>
        <w:t>6</w:t>
      </w:r>
      <w:r>
        <w:t xml:space="preserve"> </w:t>
      </w:r>
      <w:r>
        <w:rPr>
          <w:rFonts w:hint="eastAsia"/>
        </w:rPr>
        <w:t>地基处理与回填：桩基间距4~5倍桩径：避免群桩效应，提高承载力。回填土压实系数≥0.94：防止不均匀沉降，保证基础整体稳定性。</w:t>
      </w:r>
    </w:p>
    <w:p w14:paraId="1FE6288E">
      <w:pPr>
        <w:spacing w:before="156"/>
        <w:ind w:firstLine="480"/>
      </w:pPr>
      <w:r>
        <w:rPr>
          <w:rFonts w:hint="eastAsia"/>
        </w:rPr>
        <w:t>10.5.3</w:t>
      </w:r>
      <w:r>
        <w:t xml:space="preserve"> </w:t>
      </w:r>
      <w:r>
        <w:rPr>
          <w:rFonts w:hint="eastAsia"/>
        </w:rPr>
        <w:t>验收标准与检测要求</w:t>
      </w:r>
    </w:p>
    <w:p w14:paraId="5BAEA095">
      <w:pPr>
        <w:spacing w:before="156"/>
        <w:ind w:firstLine="480"/>
      </w:pPr>
      <w:r>
        <w:rPr>
          <w:rFonts w:hint="eastAsia"/>
        </w:rPr>
        <w:t>1</w:t>
      </w:r>
      <w:r>
        <w:t xml:space="preserve"> </w:t>
      </w:r>
      <w:r>
        <w:rPr>
          <w:rFonts w:hint="eastAsia"/>
        </w:rPr>
        <w:t>外观与尺寸偏差：严格控制在规范允许范围内，确保结构安全与使用功能。</w:t>
      </w:r>
    </w:p>
    <w:p w14:paraId="79EB3D5B">
      <w:pPr>
        <w:spacing w:before="156"/>
        <w:ind w:firstLine="480"/>
      </w:pPr>
      <w:r>
        <w:rPr>
          <w:rFonts w:hint="eastAsia"/>
        </w:rPr>
        <w:t>2</w:t>
      </w:r>
      <w:r>
        <w:t xml:space="preserve"> </w:t>
      </w:r>
      <w:r>
        <w:rPr>
          <w:rFonts w:hint="eastAsia"/>
        </w:rPr>
        <w:t>材料强度与抗渗性：必须符合设计及国家标准，尤其防水混凝土在潮湿环境下应不低于P6。</w:t>
      </w:r>
    </w:p>
    <w:p w14:paraId="4E14364B">
      <w:pPr>
        <w:spacing w:before="156"/>
        <w:ind w:firstLine="480"/>
      </w:pPr>
      <w:r>
        <w:rPr>
          <w:rFonts w:hint="eastAsia"/>
        </w:rPr>
        <w:t>3</w:t>
      </w:r>
      <w:r>
        <w:t xml:space="preserve"> </w:t>
      </w:r>
      <w:r>
        <w:rPr>
          <w:rFonts w:hint="eastAsia"/>
        </w:rPr>
        <w:t>振动测试：需实测振动响应，确保符合《建筑工程容许振动标准》GB 50868，隔振效率达标。</w:t>
      </w:r>
    </w:p>
    <w:p w14:paraId="42A72A44">
      <w:pPr>
        <w:spacing w:before="156"/>
        <w:ind w:firstLine="480"/>
      </w:pPr>
      <w:r>
        <w:rPr>
          <w:rFonts w:hint="eastAsia"/>
        </w:rPr>
        <w:t>4</w:t>
      </w:r>
      <w:r>
        <w:t xml:space="preserve"> </w:t>
      </w:r>
      <w:r>
        <w:rPr>
          <w:rFonts w:hint="eastAsia"/>
        </w:rPr>
        <w:t>资料完整性：施工记录、检测报告、验收文件等应齐全，便于后续运维与追溯。</w:t>
      </w:r>
    </w:p>
    <w:p w14:paraId="0C6E2A82">
      <w:pPr>
        <w:pStyle w:val="3"/>
      </w:pPr>
      <w:bookmarkStart w:id="90" w:name="_Toc206578604"/>
      <w:r>
        <w:t>1</w:t>
      </w:r>
      <w:r>
        <w:rPr>
          <w:rFonts w:hint="eastAsia"/>
        </w:rPr>
        <w:t>1、监测与运维</w:t>
      </w:r>
      <w:bookmarkEnd w:id="90"/>
    </w:p>
    <w:p w14:paraId="79616EAD">
      <w:pPr>
        <w:pStyle w:val="4"/>
        <w:spacing w:before="156" w:beforeLines="0"/>
      </w:pPr>
      <w:bookmarkStart w:id="91" w:name="_Toc206578605"/>
      <w:r>
        <w:t>1</w:t>
      </w:r>
      <w:r>
        <w:rPr>
          <w:rFonts w:hint="eastAsia"/>
        </w:rPr>
        <w:t>1.1</w:t>
      </w:r>
      <w:r>
        <w:t xml:space="preserve"> </w:t>
      </w:r>
      <w:r>
        <w:rPr>
          <w:rFonts w:hint="eastAsia"/>
        </w:rPr>
        <w:t>一般规定</w:t>
      </w:r>
      <w:bookmarkEnd w:id="91"/>
    </w:p>
    <w:p w14:paraId="7C4CB031">
      <w:pPr>
        <w:spacing w:before="156"/>
        <w:ind w:firstLine="480"/>
      </w:pPr>
      <w:r>
        <w:rPr>
          <w:rFonts w:hint="eastAsia"/>
        </w:rPr>
        <w:t>11.1.1 本条明确了第11章的适用范围，强调锻锤基础在施工阶段和使用阶段均需进行系统性的振动监测与运维管理。目的是通过科学监测和有效管理，确保基础在长期冲击荷载作用下的安全性和稳定性，防止因振动累积导致的结构损伤或功能失效。</w:t>
      </w:r>
    </w:p>
    <w:p w14:paraId="0AC84CE0">
      <w:pPr>
        <w:spacing w:before="156"/>
        <w:ind w:firstLine="480"/>
      </w:pPr>
      <w:r>
        <w:t xml:space="preserve">11.1.2 </w:t>
      </w:r>
      <w:r>
        <w:rPr>
          <w:rFonts w:hint="eastAsia"/>
        </w:rPr>
        <w:t>规定了振动监测应涵盖的主要内容，包括振动响应：反映基础动态性能；结构变形：评估基础整体刚度与稳定性；隔振器性能：确保隔振系统有效工作；周边环境影响：防止振动对相邻结构或设备造成不利影响。这些内容的综合监测有助于全面掌握基础运行状态，为运维决策提供依据。</w:t>
      </w:r>
    </w:p>
    <w:p w14:paraId="574D3E1B">
      <w:pPr>
        <w:spacing w:before="156"/>
        <w:ind w:firstLine="480"/>
      </w:pPr>
      <w:r>
        <w:t xml:space="preserve">11.1.3 </w:t>
      </w:r>
      <w:r>
        <w:rPr>
          <w:rFonts w:hint="eastAsia"/>
        </w:rPr>
        <w:t>强调运维管理应以监测数据为基础，制定以下措施：按周期进行外观、传感器、连接件等定期检查；根据数据趋势提前进行预防性维护；制定振动超标、隔振器失效等突发情况的应急预案。通过数据驱动的运维策略，可显著提升基础的可靠性和使用寿命。</w:t>
      </w:r>
    </w:p>
    <w:p w14:paraId="0E9AE9B1">
      <w:pPr>
        <w:pStyle w:val="4"/>
        <w:spacing w:before="156"/>
      </w:pPr>
      <w:bookmarkStart w:id="92" w:name="_Toc206578606"/>
      <w:r>
        <w:rPr>
          <w:rFonts w:hint="eastAsia"/>
        </w:rPr>
        <w:t>11.2 振动监测</w:t>
      </w:r>
      <w:bookmarkEnd w:id="92"/>
      <w:r>
        <w:rPr>
          <w:rFonts w:hint="eastAsia"/>
        </w:rPr>
        <w:t xml:space="preserve">  </w:t>
      </w:r>
    </w:p>
    <w:p w14:paraId="10419C32">
      <w:pPr>
        <w:spacing w:beforeLines="0"/>
        <w:ind w:firstLine="480"/>
      </w:pPr>
      <w:r>
        <w:rPr>
          <w:rFonts w:hint="eastAsia"/>
        </w:rPr>
        <w:t>11.2.1</w:t>
      </w:r>
      <w:r>
        <w:t xml:space="preserve"> </w:t>
      </w:r>
      <w:r>
        <w:rPr>
          <w:rFonts w:hint="eastAsia"/>
        </w:rPr>
        <w:t>规定了振动监测的基本项目和测点布置原则。振动控制点的设置应考虑锻锤基础的动力响应特性及其对周边环境的影响。测点布置在基础顶面、隔振器位置及敏感区域，可全面反映振动传播路径和衰减情况。</w:t>
      </w:r>
    </w:p>
    <w:p w14:paraId="0C420248">
      <w:pPr>
        <w:spacing w:beforeLines="0"/>
        <w:ind w:firstLine="480"/>
      </w:pPr>
      <w:r>
        <w:rPr>
          <w:rFonts w:hint="eastAsia"/>
        </w:rPr>
        <w:t>11.2.2 传感器布置要求确保数据的代表性和可靠性。基础顶面不少于4个测点可避免局部异常干扰；隔振器位置布置双向传感器可同时获取竖向和水平向振动响应。</w:t>
      </w:r>
    </w:p>
    <w:p w14:paraId="4B3534BE">
      <w:pPr>
        <w:spacing w:beforeLines="0"/>
        <w:ind w:firstLine="480"/>
      </w:pPr>
      <w:r>
        <w:rPr>
          <w:rFonts w:hint="eastAsia"/>
        </w:rPr>
        <w:t>11.2.3 监测频率的设置依据设备运行阶段动态变化特征。安装调试阶段振动响应不稳定，需加密监测；运行稳定后逐步降低频率，但仍需定期检查以预防潜在问题。</w:t>
      </w:r>
    </w:p>
    <w:p w14:paraId="5B2B0903">
      <w:pPr>
        <w:widowControl w:val="0"/>
        <w:spacing w:before="156" w:line="240" w:lineRule="auto"/>
        <w:ind w:firstLine="0" w:firstLineChars="0"/>
        <w:jc w:val="center"/>
        <w:outlineLvl w:val="2"/>
        <w:rPr>
          <w:bCs/>
          <w:sz w:val="28"/>
          <w:szCs w:val="32"/>
        </w:rPr>
      </w:pPr>
      <w:bookmarkStart w:id="93" w:name="_Toc206578607"/>
      <w:r>
        <w:rPr>
          <w:rFonts w:hint="eastAsia"/>
          <w:bCs/>
          <w:sz w:val="28"/>
          <w:szCs w:val="32"/>
        </w:rPr>
        <w:t>11.3 数据处理与分析</w:t>
      </w:r>
      <w:bookmarkEnd w:id="93"/>
      <w:r>
        <w:rPr>
          <w:rFonts w:hint="eastAsia"/>
          <w:bCs/>
          <w:sz w:val="28"/>
          <w:szCs w:val="32"/>
        </w:rPr>
        <w:t xml:space="preserve">  </w:t>
      </w:r>
    </w:p>
    <w:p w14:paraId="659EA1B6">
      <w:pPr>
        <w:spacing w:beforeLines="0"/>
        <w:ind w:firstLine="480"/>
      </w:pPr>
      <w:r>
        <w:rPr>
          <w:rFonts w:hint="eastAsia"/>
        </w:rPr>
        <w:t>11.3.1 数据采集应符合现行行业标准《工业建筑振动检测与评价技术规程》T/CECS 1124-2022，确保数据质量和可比性。</w:t>
      </w:r>
    </w:p>
    <w:p w14:paraId="77687F64">
      <w:pPr>
        <w:spacing w:beforeLines="0"/>
        <w:ind w:firstLine="480"/>
      </w:pPr>
      <w:r>
        <w:rPr>
          <w:rFonts w:hint="eastAsia"/>
        </w:rPr>
        <w:t>11.3.2 分析内容涵盖时域、频域和趋势分析，旨在识别振动主导频率、脉冲特性及其与隔振系统固有频率的匹配性，避免共振风险。</w:t>
      </w:r>
    </w:p>
    <w:p w14:paraId="41F5C800">
      <w:pPr>
        <w:spacing w:beforeLines="0"/>
        <w:ind w:firstLine="480"/>
      </w:pPr>
      <w:r>
        <w:rPr>
          <w:rFonts w:hint="eastAsia"/>
        </w:rPr>
        <w:t>11.3.3 报警阈值设定基于《建筑工程容许振动标准》GB 50868，预留20%安全裕度，确保在接近限值前及时</w:t>
      </w:r>
    </w:p>
    <w:p w14:paraId="591289A0">
      <w:pPr>
        <w:pStyle w:val="4"/>
        <w:spacing w:before="156"/>
      </w:pPr>
      <w:bookmarkStart w:id="94" w:name="_Toc206578608"/>
      <w:r>
        <w:rPr>
          <w:rFonts w:hint="eastAsia"/>
        </w:rPr>
        <w:t>11.4 运维管理</w:t>
      </w:r>
      <w:bookmarkEnd w:id="94"/>
      <w:r>
        <w:rPr>
          <w:rFonts w:hint="eastAsia"/>
        </w:rPr>
        <w:t xml:space="preserve">  </w:t>
      </w:r>
    </w:p>
    <w:p w14:paraId="2A4F33BC">
      <w:pPr>
        <w:spacing w:beforeLines="0"/>
        <w:ind w:firstLine="480"/>
      </w:pPr>
      <w:r>
        <w:rPr>
          <w:rFonts w:hint="eastAsia"/>
        </w:rPr>
        <w:t>11.4.1</w:t>
      </w:r>
      <w:r>
        <w:t xml:space="preserve"> </w:t>
      </w:r>
      <w:r>
        <w:rPr>
          <w:rFonts w:hint="eastAsia"/>
        </w:rPr>
        <w:t>定期监测频率根据设备运行年限和稳定性动态调整，兼顾经济性与安全性。强振、地质变化或设备改造时应加密监测，确保基础持续安全运行。</w:t>
      </w:r>
    </w:p>
    <w:p w14:paraId="4C54992A">
      <w:pPr>
        <w:spacing w:beforeLines="0"/>
        <w:ind w:firstLine="480"/>
      </w:pPr>
      <w:r>
        <w:rPr>
          <w:rFonts w:hint="eastAsia"/>
        </w:rPr>
        <w:t>11.4.2 监测项目涵盖振动、结构、渗漏等多方面，综合评估基础状态。隔振系统需专项检查，确保其动态性能符合设计要求。</w:t>
      </w:r>
    </w:p>
    <w:p w14:paraId="536E1C8C">
      <w:pPr>
        <w:spacing w:beforeLines="0"/>
        <w:ind w:firstLine="480"/>
      </w:pPr>
      <w:r>
        <w:rPr>
          <w:rFonts w:hint="eastAsia"/>
        </w:rPr>
        <w:t>11.4.3 测点布置应考虑可操作性和代表性，便于长期观测和数据对比。</w:t>
      </w:r>
    </w:p>
    <w:p w14:paraId="2B126FD3">
      <w:pPr>
        <w:spacing w:beforeLines="0"/>
        <w:ind w:firstLine="480"/>
      </w:pPr>
      <w:r>
        <w:rPr>
          <w:rFonts w:hint="eastAsia"/>
        </w:rPr>
        <w:t>11.4.4 隔振系统动态参数年检可及时发现刚度衰减、阻尼变化等问题，保障隔振效果。</w:t>
      </w:r>
    </w:p>
    <w:p w14:paraId="0D0681B1">
      <w:pPr>
        <w:spacing w:beforeLines="0"/>
        <w:ind w:firstLine="480"/>
      </w:pPr>
      <w:r>
        <w:rPr>
          <w:rFonts w:hint="eastAsia"/>
        </w:rPr>
        <w:t>11.4.5 应急处理措施强调快速响应与临时加固，避免故障扩大，确保人员与设备安全。</w:t>
      </w:r>
    </w:p>
    <w:p w14:paraId="6EC7EBC5">
      <w:pPr>
        <w:spacing w:before="156"/>
        <w:ind w:firstLine="480"/>
      </w:pPr>
    </w:p>
    <w:p w14:paraId="7C8FE43A">
      <w:pPr>
        <w:spacing w:before="156"/>
        <w:ind w:firstLine="480"/>
      </w:pPr>
    </w:p>
    <w:p w14:paraId="440B0446">
      <w:pPr>
        <w:spacing w:before="156"/>
        <w:ind w:firstLine="480"/>
      </w:pPr>
    </w:p>
    <w:sectPr>
      <w:headerReference r:id="rId19" w:type="first"/>
      <w:footerReference r:id="rId22" w:type="first"/>
      <w:headerReference r:id="rId17" w:type="default"/>
      <w:footerReference r:id="rId20" w:type="default"/>
      <w:headerReference r:id="rId18" w:type="even"/>
      <w:footerReference r:id="rId21"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var(--ds-font-family-code)">
    <w:altName w:val="Times New Roman"/>
    <w:panose1 w:val="00000000000000000000"/>
    <w:charset w:val="00"/>
    <w:family w:val="roman"/>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MS Gothic">
    <w:panose1 w:val="020B0609070205080204"/>
    <w:charset w:val="80"/>
    <w:family w:val="modern"/>
    <w:pitch w:val="default"/>
    <w:sig w:usb0="E00002FF" w:usb1="6AC7FDFB" w:usb2="08000012" w:usb3="00000000" w:csb0="4002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42328">
    <w:pPr>
      <w:pStyle w:val="20"/>
      <w:spacing w:before="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13F6C">
    <w:pPr>
      <w:pStyle w:val="20"/>
      <w:spacing w:before="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8B46C">
    <w:pPr>
      <w:pStyle w:val="20"/>
      <w:spacing w:before="1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32362392"/>
      <w:docPartObj>
        <w:docPartGallery w:val="AutoText"/>
      </w:docPartObj>
    </w:sdtPr>
    <w:sdtContent>
      <w:p w14:paraId="2ABE72DD">
        <w:pPr>
          <w:pStyle w:val="20"/>
          <w:spacing w:before="120"/>
          <w:ind w:firstLine="360"/>
          <w:jc w:val="right"/>
        </w:pPr>
        <w:r>
          <w:fldChar w:fldCharType="begin"/>
        </w:r>
        <w:r>
          <w:instrText xml:space="preserve">PAGE   \* MERGEFORMAT</w:instrText>
        </w:r>
        <w:r>
          <w:fldChar w:fldCharType="separate"/>
        </w:r>
        <w:r>
          <w:rPr>
            <w:lang w:val="zh-CN"/>
          </w:rPr>
          <w:t>52</w:t>
        </w:r>
        <w:r>
          <w:fldChar w:fldCharType="end"/>
        </w:r>
      </w:p>
    </w:sdtContent>
  </w:sdt>
  <w:p w14:paraId="6749480C">
    <w:pPr>
      <w:pStyle w:val="20"/>
      <w:spacing w:before="120"/>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E0335">
    <w:pPr>
      <w:pStyle w:val="20"/>
      <w:spacing w:before="120"/>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AE872">
    <w:pPr>
      <w:pStyle w:val="20"/>
      <w:spacing w:before="120"/>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16878948"/>
      <w:docPartObj>
        <w:docPartGallery w:val="AutoText"/>
      </w:docPartObj>
    </w:sdtPr>
    <w:sdtContent>
      <w:p w14:paraId="337B615A">
        <w:pPr>
          <w:pStyle w:val="20"/>
          <w:spacing w:before="120"/>
          <w:ind w:firstLine="360"/>
          <w:jc w:val="right"/>
        </w:pPr>
        <w:r>
          <w:fldChar w:fldCharType="begin"/>
        </w:r>
        <w:r>
          <w:instrText xml:space="preserve">PAGE   \* MERGEFORMAT</w:instrText>
        </w:r>
        <w:r>
          <w:fldChar w:fldCharType="separate"/>
        </w:r>
        <w:r>
          <w:rPr>
            <w:lang w:val="zh-CN"/>
          </w:rPr>
          <w:t>56</w:t>
        </w:r>
        <w:r>
          <w:fldChar w:fldCharType="end"/>
        </w:r>
      </w:p>
    </w:sdtContent>
  </w:sdt>
  <w:p w14:paraId="1F528EBE">
    <w:pPr>
      <w:pStyle w:val="20"/>
      <w:spacing w:before="120"/>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22EB2">
    <w:pPr>
      <w:pStyle w:val="20"/>
      <w:spacing w:before="120"/>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08EE">
    <w:pPr>
      <w:pStyle w:val="20"/>
      <w:spacing w:before="1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8" w:lineRule="auto"/>
        <w:ind w:firstLine="480"/>
      </w:pPr>
      <w:r>
        <w:separator/>
      </w:r>
    </w:p>
  </w:footnote>
  <w:footnote w:type="continuationSeparator" w:id="1">
    <w:p>
      <w:pPr>
        <w:spacing w:before="0" w:after="0" w:line="288"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D0AC0">
    <w:pPr>
      <w:pStyle w:val="21"/>
      <w:pBdr>
        <w:bottom w:val="none" w:color="auto" w:sz="0" w:space="0"/>
      </w:pBdr>
      <w:spacing w:before="1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824E5">
    <w:pPr>
      <w:pStyle w:val="21"/>
      <w:spacing w:before="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A7328">
    <w:pPr>
      <w:pStyle w:val="21"/>
      <w:spacing w:before="12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4B9FA">
    <w:pPr>
      <w:pStyle w:val="21"/>
      <w:spacing w:before="120"/>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439D6">
    <w:pPr>
      <w:pStyle w:val="21"/>
      <w:spacing w:before="12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0C17D">
    <w:pPr>
      <w:pStyle w:val="21"/>
      <w:spacing w:before="12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3B1A7">
    <w:pPr>
      <w:spacing w:before="120"/>
      <w:ind w:firstLine="48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AE93E">
    <w:pPr>
      <w:pStyle w:val="21"/>
      <w:spacing w:before="120"/>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30F71">
    <w:pPr>
      <w:pStyle w:val="21"/>
      <w:spacing w:before="1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4D6E85"/>
    <w:multiLevelType w:val="multilevel"/>
    <w:tmpl w:val="574D6E85"/>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697C1130"/>
    <w:multiLevelType w:val="multilevel"/>
    <w:tmpl w:val="697C1130"/>
    <w:lvl w:ilvl="0" w:tentative="0">
      <w:start w:val="1"/>
      <w:numFmt w:val="decimal"/>
      <w:pStyle w:val="101"/>
      <w:suff w:val="nothing"/>
      <w:lvlText w:val="%1  "/>
      <w:lvlJc w:val="left"/>
      <w:pPr>
        <w:ind w:left="0" w:firstLine="0"/>
      </w:pPr>
      <w:rPr>
        <w:rFonts w:hint="eastAsia"/>
      </w:rPr>
    </w:lvl>
    <w:lvl w:ilvl="1" w:tentative="0">
      <w:start w:val="1"/>
      <w:numFmt w:val="decimal"/>
      <w:pStyle w:val="102"/>
      <w:suff w:val="nothing"/>
      <w:lvlText w:val="%1.%2 "/>
      <w:lvlJc w:val="left"/>
      <w:pPr>
        <w:ind w:left="0" w:firstLine="0"/>
      </w:pPr>
      <w:rPr>
        <w:rFonts w:hint="eastAsia"/>
      </w:rPr>
    </w:lvl>
    <w:lvl w:ilvl="2" w:tentative="0">
      <w:start w:val="1"/>
      <w:numFmt w:val="decimal"/>
      <w:pStyle w:val="103"/>
      <w:suff w:val="nothing"/>
      <w:lvlText w:val="%1.%2.%3 "/>
      <w:lvlJc w:val="left"/>
      <w:pPr>
        <w:ind w:left="0" w:firstLine="0"/>
      </w:pPr>
      <w:rPr>
        <w:rFonts w:hint="eastAsia"/>
        <w:sz w:val="28"/>
        <w:szCs w:val="28"/>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B83"/>
    <w:rsid w:val="000004B3"/>
    <w:rsid w:val="00003A8F"/>
    <w:rsid w:val="00013A95"/>
    <w:rsid w:val="00030FEB"/>
    <w:rsid w:val="00031C8D"/>
    <w:rsid w:val="00033C8F"/>
    <w:rsid w:val="00033E99"/>
    <w:rsid w:val="000347D5"/>
    <w:rsid w:val="00036471"/>
    <w:rsid w:val="00037C45"/>
    <w:rsid w:val="00042746"/>
    <w:rsid w:val="00044800"/>
    <w:rsid w:val="00045CF2"/>
    <w:rsid w:val="00045ED3"/>
    <w:rsid w:val="0005003C"/>
    <w:rsid w:val="00050801"/>
    <w:rsid w:val="0005548A"/>
    <w:rsid w:val="00055BA8"/>
    <w:rsid w:val="00057413"/>
    <w:rsid w:val="00057C82"/>
    <w:rsid w:val="00057C83"/>
    <w:rsid w:val="00061DF4"/>
    <w:rsid w:val="0006241F"/>
    <w:rsid w:val="000653E1"/>
    <w:rsid w:val="000659BC"/>
    <w:rsid w:val="00071570"/>
    <w:rsid w:val="00072791"/>
    <w:rsid w:val="000756B8"/>
    <w:rsid w:val="00075770"/>
    <w:rsid w:val="000812E2"/>
    <w:rsid w:val="00081EF2"/>
    <w:rsid w:val="00085A31"/>
    <w:rsid w:val="00091886"/>
    <w:rsid w:val="00091DA8"/>
    <w:rsid w:val="00091EE6"/>
    <w:rsid w:val="000A216D"/>
    <w:rsid w:val="000A5214"/>
    <w:rsid w:val="000A6C6A"/>
    <w:rsid w:val="000B0F24"/>
    <w:rsid w:val="000B45B4"/>
    <w:rsid w:val="000B6307"/>
    <w:rsid w:val="000B6AEE"/>
    <w:rsid w:val="000C094C"/>
    <w:rsid w:val="000C1184"/>
    <w:rsid w:val="000C269C"/>
    <w:rsid w:val="000C3587"/>
    <w:rsid w:val="000C3C6B"/>
    <w:rsid w:val="000C41A2"/>
    <w:rsid w:val="000C4CCF"/>
    <w:rsid w:val="000C57C0"/>
    <w:rsid w:val="000C732D"/>
    <w:rsid w:val="000D01D2"/>
    <w:rsid w:val="000D2977"/>
    <w:rsid w:val="000D3775"/>
    <w:rsid w:val="000D4AF0"/>
    <w:rsid w:val="000D6F38"/>
    <w:rsid w:val="000F4786"/>
    <w:rsid w:val="000F47A6"/>
    <w:rsid w:val="0010038D"/>
    <w:rsid w:val="0010192D"/>
    <w:rsid w:val="001042E7"/>
    <w:rsid w:val="00105956"/>
    <w:rsid w:val="00107290"/>
    <w:rsid w:val="00110097"/>
    <w:rsid w:val="00110162"/>
    <w:rsid w:val="00110BAC"/>
    <w:rsid w:val="001135A8"/>
    <w:rsid w:val="00115007"/>
    <w:rsid w:val="00115751"/>
    <w:rsid w:val="0011759D"/>
    <w:rsid w:val="00117D57"/>
    <w:rsid w:val="001213D4"/>
    <w:rsid w:val="00130E06"/>
    <w:rsid w:val="00132C96"/>
    <w:rsid w:val="00132D43"/>
    <w:rsid w:val="00132E56"/>
    <w:rsid w:val="001346DA"/>
    <w:rsid w:val="00140155"/>
    <w:rsid w:val="0014070A"/>
    <w:rsid w:val="00147073"/>
    <w:rsid w:val="0014726A"/>
    <w:rsid w:val="00151066"/>
    <w:rsid w:val="001510A3"/>
    <w:rsid w:val="00151624"/>
    <w:rsid w:val="00151D35"/>
    <w:rsid w:val="00152E9B"/>
    <w:rsid w:val="00153265"/>
    <w:rsid w:val="00154BED"/>
    <w:rsid w:val="00155C6C"/>
    <w:rsid w:val="001579AC"/>
    <w:rsid w:val="00157FA2"/>
    <w:rsid w:val="001609B6"/>
    <w:rsid w:val="001615B6"/>
    <w:rsid w:val="00162480"/>
    <w:rsid w:val="00163994"/>
    <w:rsid w:val="00167CB7"/>
    <w:rsid w:val="001717C2"/>
    <w:rsid w:val="00176BD4"/>
    <w:rsid w:val="00182B4D"/>
    <w:rsid w:val="00182DBF"/>
    <w:rsid w:val="00183C54"/>
    <w:rsid w:val="00184344"/>
    <w:rsid w:val="001867D2"/>
    <w:rsid w:val="00186950"/>
    <w:rsid w:val="0019063D"/>
    <w:rsid w:val="001912F8"/>
    <w:rsid w:val="00191F0B"/>
    <w:rsid w:val="00196838"/>
    <w:rsid w:val="00196C17"/>
    <w:rsid w:val="0019760B"/>
    <w:rsid w:val="001A0C87"/>
    <w:rsid w:val="001A1D1F"/>
    <w:rsid w:val="001A2AC2"/>
    <w:rsid w:val="001A699F"/>
    <w:rsid w:val="001B3239"/>
    <w:rsid w:val="001B4A6C"/>
    <w:rsid w:val="001B6DD5"/>
    <w:rsid w:val="001C0BE5"/>
    <w:rsid w:val="001C37F5"/>
    <w:rsid w:val="001C4E10"/>
    <w:rsid w:val="001C5B09"/>
    <w:rsid w:val="001D16FF"/>
    <w:rsid w:val="001D441A"/>
    <w:rsid w:val="001D4842"/>
    <w:rsid w:val="001D671A"/>
    <w:rsid w:val="001D7701"/>
    <w:rsid w:val="001E156F"/>
    <w:rsid w:val="001E6106"/>
    <w:rsid w:val="001E641F"/>
    <w:rsid w:val="001E6F77"/>
    <w:rsid w:val="001F1081"/>
    <w:rsid w:val="001F3A91"/>
    <w:rsid w:val="002015B7"/>
    <w:rsid w:val="00203EE7"/>
    <w:rsid w:val="002070A8"/>
    <w:rsid w:val="0020712B"/>
    <w:rsid w:val="00212AF7"/>
    <w:rsid w:val="002149EE"/>
    <w:rsid w:val="00216A1D"/>
    <w:rsid w:val="00224BFD"/>
    <w:rsid w:val="0022544F"/>
    <w:rsid w:val="00227602"/>
    <w:rsid w:val="002307CF"/>
    <w:rsid w:val="00236D09"/>
    <w:rsid w:val="00236DC2"/>
    <w:rsid w:val="00242E9A"/>
    <w:rsid w:val="00244069"/>
    <w:rsid w:val="002453A0"/>
    <w:rsid w:val="0024624C"/>
    <w:rsid w:val="002473D7"/>
    <w:rsid w:val="00253D8C"/>
    <w:rsid w:val="002553A1"/>
    <w:rsid w:val="00260554"/>
    <w:rsid w:val="0026220C"/>
    <w:rsid w:val="002664E5"/>
    <w:rsid w:val="00266E6D"/>
    <w:rsid w:val="0026716A"/>
    <w:rsid w:val="00272857"/>
    <w:rsid w:val="00273186"/>
    <w:rsid w:val="00273841"/>
    <w:rsid w:val="00275222"/>
    <w:rsid w:val="002768E1"/>
    <w:rsid w:val="0027790A"/>
    <w:rsid w:val="0028311E"/>
    <w:rsid w:val="00284A04"/>
    <w:rsid w:val="00284FD4"/>
    <w:rsid w:val="0028514E"/>
    <w:rsid w:val="002904B5"/>
    <w:rsid w:val="002944E9"/>
    <w:rsid w:val="002A1160"/>
    <w:rsid w:val="002A3C29"/>
    <w:rsid w:val="002A460F"/>
    <w:rsid w:val="002A5287"/>
    <w:rsid w:val="002B1F4E"/>
    <w:rsid w:val="002B518F"/>
    <w:rsid w:val="002B5A76"/>
    <w:rsid w:val="002B694A"/>
    <w:rsid w:val="002C2986"/>
    <w:rsid w:val="002C2A25"/>
    <w:rsid w:val="002C2D63"/>
    <w:rsid w:val="002C31A9"/>
    <w:rsid w:val="002C36D4"/>
    <w:rsid w:val="002C5792"/>
    <w:rsid w:val="002C6388"/>
    <w:rsid w:val="002C7152"/>
    <w:rsid w:val="002D1617"/>
    <w:rsid w:val="002D3216"/>
    <w:rsid w:val="002E08BB"/>
    <w:rsid w:val="002E0F04"/>
    <w:rsid w:val="002E1FAF"/>
    <w:rsid w:val="002E3497"/>
    <w:rsid w:val="002E63CC"/>
    <w:rsid w:val="002E78C5"/>
    <w:rsid w:val="002F24D1"/>
    <w:rsid w:val="002F29F3"/>
    <w:rsid w:val="00304B83"/>
    <w:rsid w:val="00305705"/>
    <w:rsid w:val="00305AEF"/>
    <w:rsid w:val="00307F0B"/>
    <w:rsid w:val="00310655"/>
    <w:rsid w:val="00314C81"/>
    <w:rsid w:val="003177C7"/>
    <w:rsid w:val="003201E3"/>
    <w:rsid w:val="003255C3"/>
    <w:rsid w:val="003262C2"/>
    <w:rsid w:val="00326B5B"/>
    <w:rsid w:val="00326F2E"/>
    <w:rsid w:val="00327B20"/>
    <w:rsid w:val="003328EE"/>
    <w:rsid w:val="003371FC"/>
    <w:rsid w:val="003427D6"/>
    <w:rsid w:val="00346C61"/>
    <w:rsid w:val="00351BCC"/>
    <w:rsid w:val="00352F88"/>
    <w:rsid w:val="00356FB7"/>
    <w:rsid w:val="00357902"/>
    <w:rsid w:val="003600AE"/>
    <w:rsid w:val="003602E9"/>
    <w:rsid w:val="003607BC"/>
    <w:rsid w:val="00362870"/>
    <w:rsid w:val="003670A4"/>
    <w:rsid w:val="00373E42"/>
    <w:rsid w:val="00376867"/>
    <w:rsid w:val="00386932"/>
    <w:rsid w:val="00394C00"/>
    <w:rsid w:val="00395B69"/>
    <w:rsid w:val="00397149"/>
    <w:rsid w:val="003A3163"/>
    <w:rsid w:val="003A41E8"/>
    <w:rsid w:val="003A4D5D"/>
    <w:rsid w:val="003A5887"/>
    <w:rsid w:val="003A6650"/>
    <w:rsid w:val="003A68FA"/>
    <w:rsid w:val="003A6B6E"/>
    <w:rsid w:val="003B6C21"/>
    <w:rsid w:val="003B7C64"/>
    <w:rsid w:val="003C11FB"/>
    <w:rsid w:val="003C2CE9"/>
    <w:rsid w:val="003C5533"/>
    <w:rsid w:val="003D1749"/>
    <w:rsid w:val="003D1CB3"/>
    <w:rsid w:val="003D336A"/>
    <w:rsid w:val="003D5868"/>
    <w:rsid w:val="003D5D4A"/>
    <w:rsid w:val="003D68FC"/>
    <w:rsid w:val="003D70E9"/>
    <w:rsid w:val="003E045C"/>
    <w:rsid w:val="003E2934"/>
    <w:rsid w:val="003E2CE9"/>
    <w:rsid w:val="003E47CA"/>
    <w:rsid w:val="003E5311"/>
    <w:rsid w:val="003F5CD0"/>
    <w:rsid w:val="003F63B2"/>
    <w:rsid w:val="00400F8B"/>
    <w:rsid w:val="00402FE2"/>
    <w:rsid w:val="0041039A"/>
    <w:rsid w:val="00422883"/>
    <w:rsid w:val="004229A7"/>
    <w:rsid w:val="00425A45"/>
    <w:rsid w:val="00426266"/>
    <w:rsid w:val="00430E2B"/>
    <w:rsid w:val="00431A39"/>
    <w:rsid w:val="0043213C"/>
    <w:rsid w:val="00432C7B"/>
    <w:rsid w:val="00435053"/>
    <w:rsid w:val="004368AD"/>
    <w:rsid w:val="00437DEE"/>
    <w:rsid w:val="00440034"/>
    <w:rsid w:val="00442213"/>
    <w:rsid w:val="00450FF1"/>
    <w:rsid w:val="00451D21"/>
    <w:rsid w:val="004543CE"/>
    <w:rsid w:val="0045454D"/>
    <w:rsid w:val="004547B7"/>
    <w:rsid w:val="004552EF"/>
    <w:rsid w:val="00461E15"/>
    <w:rsid w:val="00462755"/>
    <w:rsid w:val="00470219"/>
    <w:rsid w:val="004706FF"/>
    <w:rsid w:val="00473B19"/>
    <w:rsid w:val="00475DE4"/>
    <w:rsid w:val="00481484"/>
    <w:rsid w:val="00481848"/>
    <w:rsid w:val="004820A6"/>
    <w:rsid w:val="00483773"/>
    <w:rsid w:val="00485BA6"/>
    <w:rsid w:val="00487068"/>
    <w:rsid w:val="004A13A9"/>
    <w:rsid w:val="004A4B50"/>
    <w:rsid w:val="004A6584"/>
    <w:rsid w:val="004A680E"/>
    <w:rsid w:val="004B2519"/>
    <w:rsid w:val="004D1A06"/>
    <w:rsid w:val="004D1A32"/>
    <w:rsid w:val="004D1F20"/>
    <w:rsid w:val="004D22CC"/>
    <w:rsid w:val="004D327C"/>
    <w:rsid w:val="004D3CA0"/>
    <w:rsid w:val="004D73AC"/>
    <w:rsid w:val="004D7DF0"/>
    <w:rsid w:val="004E0A29"/>
    <w:rsid w:val="004E2240"/>
    <w:rsid w:val="004E3D01"/>
    <w:rsid w:val="004E6D79"/>
    <w:rsid w:val="004F1812"/>
    <w:rsid w:val="004F2708"/>
    <w:rsid w:val="004F70A6"/>
    <w:rsid w:val="004F730D"/>
    <w:rsid w:val="00502C9E"/>
    <w:rsid w:val="00504B35"/>
    <w:rsid w:val="0050720A"/>
    <w:rsid w:val="005072BC"/>
    <w:rsid w:val="00510210"/>
    <w:rsid w:val="005119B2"/>
    <w:rsid w:val="00515348"/>
    <w:rsid w:val="00516CFD"/>
    <w:rsid w:val="005208BC"/>
    <w:rsid w:val="00520F3B"/>
    <w:rsid w:val="0052171F"/>
    <w:rsid w:val="005246CC"/>
    <w:rsid w:val="00527D4D"/>
    <w:rsid w:val="005348AA"/>
    <w:rsid w:val="005405C4"/>
    <w:rsid w:val="00540DD9"/>
    <w:rsid w:val="00546488"/>
    <w:rsid w:val="00550535"/>
    <w:rsid w:val="00551387"/>
    <w:rsid w:val="005600E1"/>
    <w:rsid w:val="0056128A"/>
    <w:rsid w:val="00561EA3"/>
    <w:rsid w:val="00562FAD"/>
    <w:rsid w:val="00563B16"/>
    <w:rsid w:val="005661A8"/>
    <w:rsid w:val="00566423"/>
    <w:rsid w:val="005667DB"/>
    <w:rsid w:val="0057707A"/>
    <w:rsid w:val="00577C8C"/>
    <w:rsid w:val="00580A43"/>
    <w:rsid w:val="005830F0"/>
    <w:rsid w:val="00584709"/>
    <w:rsid w:val="0058483C"/>
    <w:rsid w:val="00585904"/>
    <w:rsid w:val="00585B40"/>
    <w:rsid w:val="00592ADA"/>
    <w:rsid w:val="00596DC3"/>
    <w:rsid w:val="005975A2"/>
    <w:rsid w:val="005976BF"/>
    <w:rsid w:val="005A0F56"/>
    <w:rsid w:val="005A2B16"/>
    <w:rsid w:val="005A5BBD"/>
    <w:rsid w:val="005B6A81"/>
    <w:rsid w:val="005B7D6D"/>
    <w:rsid w:val="005C0475"/>
    <w:rsid w:val="005C052A"/>
    <w:rsid w:val="005C35EF"/>
    <w:rsid w:val="005C6FE6"/>
    <w:rsid w:val="005D2553"/>
    <w:rsid w:val="005D6DB3"/>
    <w:rsid w:val="005D7E9B"/>
    <w:rsid w:val="005E0529"/>
    <w:rsid w:val="005E2CAD"/>
    <w:rsid w:val="005E7ACD"/>
    <w:rsid w:val="005F2B6E"/>
    <w:rsid w:val="005F4237"/>
    <w:rsid w:val="005F4C16"/>
    <w:rsid w:val="00602FA2"/>
    <w:rsid w:val="00604815"/>
    <w:rsid w:val="00606E6C"/>
    <w:rsid w:val="00610E3C"/>
    <w:rsid w:val="00614443"/>
    <w:rsid w:val="00615626"/>
    <w:rsid w:val="00615B06"/>
    <w:rsid w:val="00617E24"/>
    <w:rsid w:val="006200FF"/>
    <w:rsid w:val="00620810"/>
    <w:rsid w:val="00626556"/>
    <w:rsid w:val="00631640"/>
    <w:rsid w:val="00632226"/>
    <w:rsid w:val="006328BA"/>
    <w:rsid w:val="00633239"/>
    <w:rsid w:val="0063404B"/>
    <w:rsid w:val="0063471B"/>
    <w:rsid w:val="00634839"/>
    <w:rsid w:val="00634956"/>
    <w:rsid w:val="00635A81"/>
    <w:rsid w:val="00640D9F"/>
    <w:rsid w:val="00642417"/>
    <w:rsid w:val="00644AA0"/>
    <w:rsid w:val="00647D73"/>
    <w:rsid w:val="00651DF2"/>
    <w:rsid w:val="00651FED"/>
    <w:rsid w:val="00653CBE"/>
    <w:rsid w:val="00663EA5"/>
    <w:rsid w:val="006729E5"/>
    <w:rsid w:val="006823AE"/>
    <w:rsid w:val="00683996"/>
    <w:rsid w:val="006847ED"/>
    <w:rsid w:val="00684C24"/>
    <w:rsid w:val="00687815"/>
    <w:rsid w:val="006910DE"/>
    <w:rsid w:val="00692C6E"/>
    <w:rsid w:val="006959A5"/>
    <w:rsid w:val="00697671"/>
    <w:rsid w:val="006A0D02"/>
    <w:rsid w:val="006A3929"/>
    <w:rsid w:val="006A4B30"/>
    <w:rsid w:val="006B2AC3"/>
    <w:rsid w:val="006B6CEA"/>
    <w:rsid w:val="006B7606"/>
    <w:rsid w:val="006C3A67"/>
    <w:rsid w:val="006C4D0D"/>
    <w:rsid w:val="006D275C"/>
    <w:rsid w:val="006D2C28"/>
    <w:rsid w:val="006D6AF1"/>
    <w:rsid w:val="006D75CE"/>
    <w:rsid w:val="006E2851"/>
    <w:rsid w:val="006E2F8C"/>
    <w:rsid w:val="006E6B4B"/>
    <w:rsid w:val="006F0D66"/>
    <w:rsid w:val="006F5053"/>
    <w:rsid w:val="006F5508"/>
    <w:rsid w:val="00704BE8"/>
    <w:rsid w:val="0071079E"/>
    <w:rsid w:val="00710BA2"/>
    <w:rsid w:val="007165C8"/>
    <w:rsid w:val="007171C5"/>
    <w:rsid w:val="007220A9"/>
    <w:rsid w:val="0072264C"/>
    <w:rsid w:val="007226C7"/>
    <w:rsid w:val="00730615"/>
    <w:rsid w:val="00730E8C"/>
    <w:rsid w:val="007312F0"/>
    <w:rsid w:val="00737159"/>
    <w:rsid w:val="00740D3A"/>
    <w:rsid w:val="007430FD"/>
    <w:rsid w:val="00755234"/>
    <w:rsid w:val="00755F6B"/>
    <w:rsid w:val="00757086"/>
    <w:rsid w:val="007647B7"/>
    <w:rsid w:val="00771FA0"/>
    <w:rsid w:val="00772A69"/>
    <w:rsid w:val="007751FE"/>
    <w:rsid w:val="007763A1"/>
    <w:rsid w:val="00783229"/>
    <w:rsid w:val="00793096"/>
    <w:rsid w:val="0079425D"/>
    <w:rsid w:val="007947DD"/>
    <w:rsid w:val="007953E1"/>
    <w:rsid w:val="00796B2D"/>
    <w:rsid w:val="007A12EF"/>
    <w:rsid w:val="007A4123"/>
    <w:rsid w:val="007A4255"/>
    <w:rsid w:val="007A7105"/>
    <w:rsid w:val="007B1E03"/>
    <w:rsid w:val="007C1093"/>
    <w:rsid w:val="007C6510"/>
    <w:rsid w:val="007C7337"/>
    <w:rsid w:val="007C7724"/>
    <w:rsid w:val="007D6119"/>
    <w:rsid w:val="007E061F"/>
    <w:rsid w:val="007E1A1D"/>
    <w:rsid w:val="007E307A"/>
    <w:rsid w:val="007E4648"/>
    <w:rsid w:val="007F03EE"/>
    <w:rsid w:val="007F1500"/>
    <w:rsid w:val="007F2D6B"/>
    <w:rsid w:val="007F3246"/>
    <w:rsid w:val="007F4225"/>
    <w:rsid w:val="007F739F"/>
    <w:rsid w:val="00804BCB"/>
    <w:rsid w:val="008056E2"/>
    <w:rsid w:val="008066A8"/>
    <w:rsid w:val="00807300"/>
    <w:rsid w:val="00807CE0"/>
    <w:rsid w:val="00810894"/>
    <w:rsid w:val="008147DB"/>
    <w:rsid w:val="00814FCA"/>
    <w:rsid w:val="00817004"/>
    <w:rsid w:val="008204D4"/>
    <w:rsid w:val="008205D8"/>
    <w:rsid w:val="00820C3F"/>
    <w:rsid w:val="00820E9A"/>
    <w:rsid w:val="00823072"/>
    <w:rsid w:val="00830626"/>
    <w:rsid w:val="008312D7"/>
    <w:rsid w:val="00832B83"/>
    <w:rsid w:val="0084329F"/>
    <w:rsid w:val="008445DB"/>
    <w:rsid w:val="00853309"/>
    <w:rsid w:val="00854039"/>
    <w:rsid w:val="00854939"/>
    <w:rsid w:val="00857A5C"/>
    <w:rsid w:val="008609ED"/>
    <w:rsid w:val="00862EA4"/>
    <w:rsid w:val="0086333B"/>
    <w:rsid w:val="008638FA"/>
    <w:rsid w:val="00863DC6"/>
    <w:rsid w:val="0086438E"/>
    <w:rsid w:val="008656FF"/>
    <w:rsid w:val="008675E0"/>
    <w:rsid w:val="00870BF7"/>
    <w:rsid w:val="008737B4"/>
    <w:rsid w:val="0087739A"/>
    <w:rsid w:val="008830E5"/>
    <w:rsid w:val="00884A26"/>
    <w:rsid w:val="0089526D"/>
    <w:rsid w:val="00895559"/>
    <w:rsid w:val="008959C5"/>
    <w:rsid w:val="008A017F"/>
    <w:rsid w:val="008A0475"/>
    <w:rsid w:val="008A1085"/>
    <w:rsid w:val="008A4C77"/>
    <w:rsid w:val="008A6382"/>
    <w:rsid w:val="008B1D18"/>
    <w:rsid w:val="008B2596"/>
    <w:rsid w:val="008B4424"/>
    <w:rsid w:val="008B6E50"/>
    <w:rsid w:val="008C04FC"/>
    <w:rsid w:val="008C5C79"/>
    <w:rsid w:val="008D10CB"/>
    <w:rsid w:val="008D36B9"/>
    <w:rsid w:val="008D533D"/>
    <w:rsid w:val="008D6B88"/>
    <w:rsid w:val="008D7380"/>
    <w:rsid w:val="008E1EC1"/>
    <w:rsid w:val="008E7E48"/>
    <w:rsid w:val="008F0099"/>
    <w:rsid w:val="008F042F"/>
    <w:rsid w:val="008F5726"/>
    <w:rsid w:val="008F60A1"/>
    <w:rsid w:val="00901344"/>
    <w:rsid w:val="009056AB"/>
    <w:rsid w:val="00905864"/>
    <w:rsid w:val="00905BB7"/>
    <w:rsid w:val="00910335"/>
    <w:rsid w:val="00915703"/>
    <w:rsid w:val="009160F7"/>
    <w:rsid w:val="00916340"/>
    <w:rsid w:val="009172B1"/>
    <w:rsid w:val="009200F5"/>
    <w:rsid w:val="0092514D"/>
    <w:rsid w:val="00925F19"/>
    <w:rsid w:val="00933352"/>
    <w:rsid w:val="00933622"/>
    <w:rsid w:val="009355C6"/>
    <w:rsid w:val="00940E19"/>
    <w:rsid w:val="009425A3"/>
    <w:rsid w:val="0094390B"/>
    <w:rsid w:val="00947581"/>
    <w:rsid w:val="00953F85"/>
    <w:rsid w:val="00954227"/>
    <w:rsid w:val="00956511"/>
    <w:rsid w:val="0096006E"/>
    <w:rsid w:val="0096366D"/>
    <w:rsid w:val="009656ED"/>
    <w:rsid w:val="00970BD5"/>
    <w:rsid w:val="009765AA"/>
    <w:rsid w:val="00977C7D"/>
    <w:rsid w:val="00977F93"/>
    <w:rsid w:val="0098046C"/>
    <w:rsid w:val="009827CF"/>
    <w:rsid w:val="00985614"/>
    <w:rsid w:val="00985652"/>
    <w:rsid w:val="00990F81"/>
    <w:rsid w:val="009A033D"/>
    <w:rsid w:val="009A0D1C"/>
    <w:rsid w:val="009A1237"/>
    <w:rsid w:val="009A1820"/>
    <w:rsid w:val="009A5C04"/>
    <w:rsid w:val="009A671B"/>
    <w:rsid w:val="009A679D"/>
    <w:rsid w:val="009B0121"/>
    <w:rsid w:val="009B09C0"/>
    <w:rsid w:val="009B2527"/>
    <w:rsid w:val="009B32EB"/>
    <w:rsid w:val="009B5E69"/>
    <w:rsid w:val="009C029E"/>
    <w:rsid w:val="009C082E"/>
    <w:rsid w:val="009C1785"/>
    <w:rsid w:val="009C74D2"/>
    <w:rsid w:val="009D15BB"/>
    <w:rsid w:val="009D210C"/>
    <w:rsid w:val="009D38AC"/>
    <w:rsid w:val="009E196A"/>
    <w:rsid w:val="009E2136"/>
    <w:rsid w:val="009E2618"/>
    <w:rsid w:val="009E375E"/>
    <w:rsid w:val="009E5023"/>
    <w:rsid w:val="009E5F3B"/>
    <w:rsid w:val="009E6660"/>
    <w:rsid w:val="009E7FE9"/>
    <w:rsid w:val="009F62C8"/>
    <w:rsid w:val="009F6742"/>
    <w:rsid w:val="009F70EF"/>
    <w:rsid w:val="00A037D2"/>
    <w:rsid w:val="00A05548"/>
    <w:rsid w:val="00A076DC"/>
    <w:rsid w:val="00A171C0"/>
    <w:rsid w:val="00A21E8B"/>
    <w:rsid w:val="00A246F2"/>
    <w:rsid w:val="00A2732B"/>
    <w:rsid w:val="00A4048F"/>
    <w:rsid w:val="00A417A6"/>
    <w:rsid w:val="00A428A5"/>
    <w:rsid w:val="00A44D79"/>
    <w:rsid w:val="00A46731"/>
    <w:rsid w:val="00A477EC"/>
    <w:rsid w:val="00A47B91"/>
    <w:rsid w:val="00A5290C"/>
    <w:rsid w:val="00A5333B"/>
    <w:rsid w:val="00A53B57"/>
    <w:rsid w:val="00A548D8"/>
    <w:rsid w:val="00A552EE"/>
    <w:rsid w:val="00A56A4F"/>
    <w:rsid w:val="00A602B2"/>
    <w:rsid w:val="00A63816"/>
    <w:rsid w:val="00A646F9"/>
    <w:rsid w:val="00A64ACA"/>
    <w:rsid w:val="00A65E17"/>
    <w:rsid w:val="00A674CF"/>
    <w:rsid w:val="00A7709D"/>
    <w:rsid w:val="00A773E8"/>
    <w:rsid w:val="00A8246F"/>
    <w:rsid w:val="00A84734"/>
    <w:rsid w:val="00A8643B"/>
    <w:rsid w:val="00A87385"/>
    <w:rsid w:val="00A9240F"/>
    <w:rsid w:val="00A92479"/>
    <w:rsid w:val="00A936C8"/>
    <w:rsid w:val="00AA0489"/>
    <w:rsid w:val="00AA1F83"/>
    <w:rsid w:val="00AA2501"/>
    <w:rsid w:val="00AA2D1F"/>
    <w:rsid w:val="00AA347C"/>
    <w:rsid w:val="00AA38BE"/>
    <w:rsid w:val="00AB1B45"/>
    <w:rsid w:val="00AB2315"/>
    <w:rsid w:val="00AB437C"/>
    <w:rsid w:val="00AB6EEA"/>
    <w:rsid w:val="00AC594F"/>
    <w:rsid w:val="00AC619D"/>
    <w:rsid w:val="00AC6701"/>
    <w:rsid w:val="00AC7156"/>
    <w:rsid w:val="00AC7244"/>
    <w:rsid w:val="00AD3206"/>
    <w:rsid w:val="00AD4452"/>
    <w:rsid w:val="00AD5C24"/>
    <w:rsid w:val="00AD6464"/>
    <w:rsid w:val="00AD67A9"/>
    <w:rsid w:val="00AE1540"/>
    <w:rsid w:val="00AE3F2A"/>
    <w:rsid w:val="00AE5002"/>
    <w:rsid w:val="00AE7767"/>
    <w:rsid w:val="00AE7DB5"/>
    <w:rsid w:val="00AE7F62"/>
    <w:rsid w:val="00AF23EA"/>
    <w:rsid w:val="00B04BAE"/>
    <w:rsid w:val="00B10DB0"/>
    <w:rsid w:val="00B14B9C"/>
    <w:rsid w:val="00B2042B"/>
    <w:rsid w:val="00B23402"/>
    <w:rsid w:val="00B23A87"/>
    <w:rsid w:val="00B23E79"/>
    <w:rsid w:val="00B24DEF"/>
    <w:rsid w:val="00B26F8E"/>
    <w:rsid w:val="00B27284"/>
    <w:rsid w:val="00B32822"/>
    <w:rsid w:val="00B377C9"/>
    <w:rsid w:val="00B42D1B"/>
    <w:rsid w:val="00B44F7E"/>
    <w:rsid w:val="00B458FA"/>
    <w:rsid w:val="00B50660"/>
    <w:rsid w:val="00B56634"/>
    <w:rsid w:val="00B651BF"/>
    <w:rsid w:val="00B67E58"/>
    <w:rsid w:val="00B7186D"/>
    <w:rsid w:val="00B74832"/>
    <w:rsid w:val="00B75531"/>
    <w:rsid w:val="00B83512"/>
    <w:rsid w:val="00B908BC"/>
    <w:rsid w:val="00B95E77"/>
    <w:rsid w:val="00B978EF"/>
    <w:rsid w:val="00BA114F"/>
    <w:rsid w:val="00BA15C6"/>
    <w:rsid w:val="00BA57D4"/>
    <w:rsid w:val="00BA589F"/>
    <w:rsid w:val="00BA6E9F"/>
    <w:rsid w:val="00BA7E4F"/>
    <w:rsid w:val="00BA7F94"/>
    <w:rsid w:val="00BB13EB"/>
    <w:rsid w:val="00BB3F59"/>
    <w:rsid w:val="00BB570F"/>
    <w:rsid w:val="00BB65E0"/>
    <w:rsid w:val="00BB7923"/>
    <w:rsid w:val="00BC10A4"/>
    <w:rsid w:val="00BC369E"/>
    <w:rsid w:val="00BC3F83"/>
    <w:rsid w:val="00BC51B1"/>
    <w:rsid w:val="00BD19E9"/>
    <w:rsid w:val="00BD2847"/>
    <w:rsid w:val="00BD2D31"/>
    <w:rsid w:val="00BE364E"/>
    <w:rsid w:val="00BE376C"/>
    <w:rsid w:val="00BE48C9"/>
    <w:rsid w:val="00BE54D1"/>
    <w:rsid w:val="00BF029C"/>
    <w:rsid w:val="00BF07F7"/>
    <w:rsid w:val="00BF17E8"/>
    <w:rsid w:val="00BF2C56"/>
    <w:rsid w:val="00BF4588"/>
    <w:rsid w:val="00BF69C6"/>
    <w:rsid w:val="00BF6CAA"/>
    <w:rsid w:val="00BF70D7"/>
    <w:rsid w:val="00C05491"/>
    <w:rsid w:val="00C0689E"/>
    <w:rsid w:val="00C1091B"/>
    <w:rsid w:val="00C11B3A"/>
    <w:rsid w:val="00C15138"/>
    <w:rsid w:val="00C16C35"/>
    <w:rsid w:val="00C17E9B"/>
    <w:rsid w:val="00C20E28"/>
    <w:rsid w:val="00C24A41"/>
    <w:rsid w:val="00C32351"/>
    <w:rsid w:val="00C35FF7"/>
    <w:rsid w:val="00C41054"/>
    <w:rsid w:val="00C45210"/>
    <w:rsid w:val="00C52B18"/>
    <w:rsid w:val="00C52D0A"/>
    <w:rsid w:val="00C53367"/>
    <w:rsid w:val="00C552D3"/>
    <w:rsid w:val="00C60061"/>
    <w:rsid w:val="00C601BB"/>
    <w:rsid w:val="00C60634"/>
    <w:rsid w:val="00C630A2"/>
    <w:rsid w:val="00C63730"/>
    <w:rsid w:val="00C6399F"/>
    <w:rsid w:val="00C63F89"/>
    <w:rsid w:val="00C70BAE"/>
    <w:rsid w:val="00C737BC"/>
    <w:rsid w:val="00C82DEF"/>
    <w:rsid w:val="00C846B3"/>
    <w:rsid w:val="00C84844"/>
    <w:rsid w:val="00C857BD"/>
    <w:rsid w:val="00C920FE"/>
    <w:rsid w:val="00C933E3"/>
    <w:rsid w:val="00C93BBA"/>
    <w:rsid w:val="00C96438"/>
    <w:rsid w:val="00C97ECF"/>
    <w:rsid w:val="00CB3707"/>
    <w:rsid w:val="00CB5830"/>
    <w:rsid w:val="00CB66AA"/>
    <w:rsid w:val="00CB7A44"/>
    <w:rsid w:val="00CC4803"/>
    <w:rsid w:val="00CC4821"/>
    <w:rsid w:val="00CC5730"/>
    <w:rsid w:val="00CC759E"/>
    <w:rsid w:val="00CD2B34"/>
    <w:rsid w:val="00CD6C06"/>
    <w:rsid w:val="00CD7BD7"/>
    <w:rsid w:val="00CE0B46"/>
    <w:rsid w:val="00CE180E"/>
    <w:rsid w:val="00CE269D"/>
    <w:rsid w:val="00CE6A7D"/>
    <w:rsid w:val="00CF2BF9"/>
    <w:rsid w:val="00D02DE5"/>
    <w:rsid w:val="00D03152"/>
    <w:rsid w:val="00D070BA"/>
    <w:rsid w:val="00D12080"/>
    <w:rsid w:val="00D12A19"/>
    <w:rsid w:val="00D1309E"/>
    <w:rsid w:val="00D15FBF"/>
    <w:rsid w:val="00D20336"/>
    <w:rsid w:val="00D20925"/>
    <w:rsid w:val="00D20B65"/>
    <w:rsid w:val="00D216FC"/>
    <w:rsid w:val="00D2240C"/>
    <w:rsid w:val="00D233CA"/>
    <w:rsid w:val="00D30ACB"/>
    <w:rsid w:val="00D31667"/>
    <w:rsid w:val="00D32998"/>
    <w:rsid w:val="00D35CD3"/>
    <w:rsid w:val="00D35F91"/>
    <w:rsid w:val="00D36A4F"/>
    <w:rsid w:val="00D43C2C"/>
    <w:rsid w:val="00D441C2"/>
    <w:rsid w:val="00D45765"/>
    <w:rsid w:val="00D51772"/>
    <w:rsid w:val="00D5184D"/>
    <w:rsid w:val="00D542D9"/>
    <w:rsid w:val="00D543B3"/>
    <w:rsid w:val="00D60DB8"/>
    <w:rsid w:val="00D6184A"/>
    <w:rsid w:val="00D61D4D"/>
    <w:rsid w:val="00D644C6"/>
    <w:rsid w:val="00D721D9"/>
    <w:rsid w:val="00D72CC5"/>
    <w:rsid w:val="00D734BD"/>
    <w:rsid w:val="00D7444E"/>
    <w:rsid w:val="00D75259"/>
    <w:rsid w:val="00D81811"/>
    <w:rsid w:val="00D82240"/>
    <w:rsid w:val="00D8360D"/>
    <w:rsid w:val="00D91592"/>
    <w:rsid w:val="00D934DA"/>
    <w:rsid w:val="00D937BE"/>
    <w:rsid w:val="00D93D2F"/>
    <w:rsid w:val="00D952E7"/>
    <w:rsid w:val="00D95B24"/>
    <w:rsid w:val="00D97492"/>
    <w:rsid w:val="00DA1C29"/>
    <w:rsid w:val="00DA218C"/>
    <w:rsid w:val="00DA404D"/>
    <w:rsid w:val="00DB0C63"/>
    <w:rsid w:val="00DB23DC"/>
    <w:rsid w:val="00DB74C7"/>
    <w:rsid w:val="00DC38A2"/>
    <w:rsid w:val="00DC4598"/>
    <w:rsid w:val="00DC4DC3"/>
    <w:rsid w:val="00DC59B0"/>
    <w:rsid w:val="00DC64A2"/>
    <w:rsid w:val="00DC64CD"/>
    <w:rsid w:val="00DC6764"/>
    <w:rsid w:val="00DD0F22"/>
    <w:rsid w:val="00DD2005"/>
    <w:rsid w:val="00DE7B5F"/>
    <w:rsid w:val="00DF2F52"/>
    <w:rsid w:val="00DF4D89"/>
    <w:rsid w:val="00DF6562"/>
    <w:rsid w:val="00E01CA7"/>
    <w:rsid w:val="00E0206D"/>
    <w:rsid w:val="00E03742"/>
    <w:rsid w:val="00E039FA"/>
    <w:rsid w:val="00E049B5"/>
    <w:rsid w:val="00E063D4"/>
    <w:rsid w:val="00E134D4"/>
    <w:rsid w:val="00E158D5"/>
    <w:rsid w:val="00E15ABA"/>
    <w:rsid w:val="00E165FD"/>
    <w:rsid w:val="00E2013E"/>
    <w:rsid w:val="00E221CE"/>
    <w:rsid w:val="00E238D1"/>
    <w:rsid w:val="00E26108"/>
    <w:rsid w:val="00E318A1"/>
    <w:rsid w:val="00E34239"/>
    <w:rsid w:val="00E359F9"/>
    <w:rsid w:val="00E37973"/>
    <w:rsid w:val="00E37DF4"/>
    <w:rsid w:val="00E40C2E"/>
    <w:rsid w:val="00E41121"/>
    <w:rsid w:val="00E46643"/>
    <w:rsid w:val="00E47682"/>
    <w:rsid w:val="00E5567B"/>
    <w:rsid w:val="00E56DB9"/>
    <w:rsid w:val="00E578F1"/>
    <w:rsid w:val="00E63A27"/>
    <w:rsid w:val="00E63F37"/>
    <w:rsid w:val="00E63F7C"/>
    <w:rsid w:val="00E6474D"/>
    <w:rsid w:val="00E674E5"/>
    <w:rsid w:val="00E70FE1"/>
    <w:rsid w:val="00E720B2"/>
    <w:rsid w:val="00E75D13"/>
    <w:rsid w:val="00E75E31"/>
    <w:rsid w:val="00E83AAD"/>
    <w:rsid w:val="00E84939"/>
    <w:rsid w:val="00E8538D"/>
    <w:rsid w:val="00E93349"/>
    <w:rsid w:val="00E954D0"/>
    <w:rsid w:val="00E961E2"/>
    <w:rsid w:val="00EA0135"/>
    <w:rsid w:val="00EA0C13"/>
    <w:rsid w:val="00EA3C09"/>
    <w:rsid w:val="00EA7076"/>
    <w:rsid w:val="00EA7F49"/>
    <w:rsid w:val="00EB0E4B"/>
    <w:rsid w:val="00EC4383"/>
    <w:rsid w:val="00EC4B62"/>
    <w:rsid w:val="00EC62CC"/>
    <w:rsid w:val="00ED3A84"/>
    <w:rsid w:val="00ED4BFD"/>
    <w:rsid w:val="00ED53C2"/>
    <w:rsid w:val="00EE0CBB"/>
    <w:rsid w:val="00EE7A05"/>
    <w:rsid w:val="00EF098A"/>
    <w:rsid w:val="00EF11E8"/>
    <w:rsid w:val="00EF21C1"/>
    <w:rsid w:val="00EF6C57"/>
    <w:rsid w:val="00F05AD9"/>
    <w:rsid w:val="00F06D21"/>
    <w:rsid w:val="00F06EBB"/>
    <w:rsid w:val="00F07A73"/>
    <w:rsid w:val="00F10785"/>
    <w:rsid w:val="00F16848"/>
    <w:rsid w:val="00F23881"/>
    <w:rsid w:val="00F2754A"/>
    <w:rsid w:val="00F312CE"/>
    <w:rsid w:val="00F341C9"/>
    <w:rsid w:val="00F34850"/>
    <w:rsid w:val="00F36910"/>
    <w:rsid w:val="00F42266"/>
    <w:rsid w:val="00F46ADA"/>
    <w:rsid w:val="00F52563"/>
    <w:rsid w:val="00F566F5"/>
    <w:rsid w:val="00F57C18"/>
    <w:rsid w:val="00F64AD2"/>
    <w:rsid w:val="00F66DA8"/>
    <w:rsid w:val="00F71673"/>
    <w:rsid w:val="00F72826"/>
    <w:rsid w:val="00F757DA"/>
    <w:rsid w:val="00F75FC4"/>
    <w:rsid w:val="00F774D1"/>
    <w:rsid w:val="00F85E0A"/>
    <w:rsid w:val="00F87DE1"/>
    <w:rsid w:val="00F91A5D"/>
    <w:rsid w:val="00F952B8"/>
    <w:rsid w:val="00F96B9E"/>
    <w:rsid w:val="00FA3874"/>
    <w:rsid w:val="00FB0958"/>
    <w:rsid w:val="00FB101C"/>
    <w:rsid w:val="00FB371E"/>
    <w:rsid w:val="00FB4EFF"/>
    <w:rsid w:val="00FC0F95"/>
    <w:rsid w:val="00FC194A"/>
    <w:rsid w:val="00FC547F"/>
    <w:rsid w:val="00FC6B00"/>
    <w:rsid w:val="00FD10E8"/>
    <w:rsid w:val="00FD1AA8"/>
    <w:rsid w:val="00FE3740"/>
    <w:rsid w:val="00FE62BA"/>
    <w:rsid w:val="00FE7A3A"/>
    <w:rsid w:val="00FF4101"/>
    <w:rsid w:val="00FF4CED"/>
    <w:rsid w:val="00FF5E8D"/>
    <w:rsid w:val="1C3A02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keepLines/>
      <w:spacing w:before="50" w:beforeLines="50" w:line="288" w:lineRule="auto"/>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40"/>
    <w:autoRedefine/>
    <w:qFormat/>
    <w:uiPriority w:val="9"/>
    <w:pPr>
      <w:spacing w:before="156" w:after="120" w:line="360" w:lineRule="auto"/>
      <w:ind w:firstLine="0" w:firstLineChars="0"/>
      <w:jc w:val="center"/>
      <w:outlineLvl w:val="0"/>
    </w:pPr>
    <w:rPr>
      <w:rFonts w:eastAsia="微软雅黑"/>
      <w:bCs/>
      <w:kern w:val="44"/>
      <w:sz w:val="44"/>
      <w:szCs w:val="44"/>
    </w:rPr>
  </w:style>
  <w:style w:type="paragraph" w:styleId="3">
    <w:name w:val="heading 2"/>
    <w:basedOn w:val="1"/>
    <w:next w:val="1"/>
    <w:link w:val="41"/>
    <w:autoRedefine/>
    <w:unhideWhenUsed/>
    <w:qFormat/>
    <w:uiPriority w:val="9"/>
    <w:pPr>
      <w:pageBreakBefore/>
      <w:spacing w:before="156" w:line="360" w:lineRule="auto"/>
      <w:ind w:firstLine="0" w:firstLineChars="0"/>
      <w:jc w:val="center"/>
      <w:outlineLvl w:val="1"/>
    </w:pPr>
    <w:rPr>
      <w:rFonts w:eastAsia="微软雅黑" w:cstheme="majorBidi"/>
      <w:bCs/>
      <w:sz w:val="28"/>
      <w:szCs w:val="32"/>
    </w:rPr>
  </w:style>
  <w:style w:type="paragraph" w:styleId="4">
    <w:name w:val="heading 3"/>
    <w:basedOn w:val="1"/>
    <w:next w:val="1"/>
    <w:link w:val="44"/>
    <w:unhideWhenUsed/>
    <w:qFormat/>
    <w:uiPriority w:val="0"/>
    <w:pPr>
      <w:spacing w:line="240" w:lineRule="auto"/>
      <w:ind w:firstLine="0" w:firstLineChars="0"/>
      <w:jc w:val="center"/>
      <w:outlineLvl w:val="2"/>
    </w:pPr>
    <w:rPr>
      <w:bCs/>
      <w:sz w:val="28"/>
      <w:szCs w:val="32"/>
    </w:rPr>
  </w:style>
  <w:style w:type="paragraph" w:styleId="5">
    <w:name w:val="heading 4"/>
    <w:basedOn w:val="1"/>
    <w:next w:val="1"/>
    <w:link w:val="49"/>
    <w:unhideWhenUsed/>
    <w:qFormat/>
    <w:uiPriority w:val="9"/>
    <w:pPr>
      <w:ind w:firstLine="100" w:firstLineChars="100"/>
      <w:outlineLvl w:val="3"/>
    </w:pPr>
    <w:rPr>
      <w:rFonts w:cstheme="majorBidi"/>
      <w:bCs/>
      <w:szCs w:val="28"/>
    </w:rPr>
  </w:style>
  <w:style w:type="paragraph" w:styleId="6">
    <w:name w:val="heading 5"/>
    <w:basedOn w:val="1"/>
    <w:next w:val="1"/>
    <w:link w:val="64"/>
    <w:semiHidden/>
    <w:unhideWhenUsed/>
    <w:qFormat/>
    <w:uiPriority w:val="9"/>
    <w:pPr>
      <w:spacing w:before="280" w:beforeLines="0" w:after="290" w:line="376" w:lineRule="auto"/>
      <w:ind w:firstLine="0" w:firstLineChars="0"/>
      <w:outlineLvl w:val="4"/>
    </w:pPr>
    <w:rPr>
      <w:rFonts w:ascii="Calibri Light" w:hAnsi="Calibri Light" w:cs="Times New Roman"/>
      <w:caps/>
      <w:color w:val="823B0B"/>
      <w:spacing w:val="10"/>
      <w:kern w:val="0"/>
      <w:sz w:val="22"/>
      <w:lang w:eastAsia="en-US" w:bidi="en-US"/>
    </w:rPr>
  </w:style>
  <w:style w:type="paragraph" w:styleId="7">
    <w:name w:val="heading 6"/>
    <w:basedOn w:val="1"/>
    <w:next w:val="1"/>
    <w:link w:val="65"/>
    <w:semiHidden/>
    <w:unhideWhenUsed/>
    <w:qFormat/>
    <w:uiPriority w:val="9"/>
    <w:pPr>
      <w:spacing w:before="240" w:beforeLines="0" w:after="64" w:line="320" w:lineRule="auto"/>
      <w:ind w:firstLine="0" w:firstLineChars="0"/>
      <w:outlineLvl w:val="5"/>
    </w:pPr>
    <w:rPr>
      <w:rFonts w:ascii="Calibri Light" w:hAnsi="Calibri Light" w:cs="Times New Roman"/>
      <w:caps/>
      <w:color w:val="C45911"/>
      <w:spacing w:val="10"/>
      <w:kern w:val="0"/>
      <w:sz w:val="22"/>
      <w:lang w:eastAsia="en-US" w:bidi="en-US"/>
    </w:rPr>
  </w:style>
  <w:style w:type="paragraph" w:styleId="8">
    <w:name w:val="heading 7"/>
    <w:basedOn w:val="1"/>
    <w:next w:val="1"/>
    <w:link w:val="66"/>
    <w:semiHidden/>
    <w:unhideWhenUsed/>
    <w:qFormat/>
    <w:uiPriority w:val="9"/>
    <w:pPr>
      <w:spacing w:before="240" w:beforeLines="0" w:after="64" w:line="320" w:lineRule="auto"/>
      <w:ind w:firstLine="0" w:firstLineChars="0"/>
      <w:outlineLvl w:val="6"/>
    </w:pPr>
    <w:rPr>
      <w:rFonts w:ascii="Calibri Light" w:hAnsi="Calibri Light" w:cs="Times New Roman"/>
      <w:i/>
      <w:iCs/>
      <w:caps/>
      <w:color w:val="C45911"/>
      <w:spacing w:val="10"/>
      <w:kern w:val="0"/>
      <w:sz w:val="22"/>
      <w:lang w:eastAsia="en-US" w:bidi="en-US"/>
    </w:rPr>
  </w:style>
  <w:style w:type="paragraph" w:styleId="9">
    <w:name w:val="heading 8"/>
    <w:basedOn w:val="1"/>
    <w:next w:val="1"/>
    <w:link w:val="67"/>
    <w:semiHidden/>
    <w:unhideWhenUsed/>
    <w:qFormat/>
    <w:uiPriority w:val="9"/>
    <w:pPr>
      <w:spacing w:before="240" w:beforeLines="0" w:after="64" w:line="320" w:lineRule="auto"/>
      <w:ind w:firstLine="0" w:firstLineChars="0"/>
      <w:outlineLvl w:val="7"/>
    </w:pPr>
    <w:rPr>
      <w:rFonts w:ascii="Calibri Light" w:hAnsi="Calibri Light" w:cs="Times New Roman"/>
      <w:caps/>
      <w:spacing w:val="10"/>
      <w:kern w:val="0"/>
      <w:sz w:val="20"/>
      <w:szCs w:val="20"/>
      <w:lang w:eastAsia="en-US" w:bidi="en-US"/>
    </w:rPr>
  </w:style>
  <w:style w:type="paragraph" w:styleId="10">
    <w:name w:val="heading 9"/>
    <w:basedOn w:val="1"/>
    <w:next w:val="1"/>
    <w:link w:val="68"/>
    <w:semiHidden/>
    <w:unhideWhenUsed/>
    <w:qFormat/>
    <w:uiPriority w:val="9"/>
    <w:pPr>
      <w:spacing w:before="240" w:beforeLines="0" w:after="64" w:line="320" w:lineRule="auto"/>
      <w:ind w:firstLine="0" w:firstLineChars="0"/>
      <w:outlineLvl w:val="8"/>
    </w:pPr>
    <w:rPr>
      <w:rFonts w:ascii="Calibri Light" w:hAnsi="Calibri Light" w:cs="Times New Roman"/>
      <w:i/>
      <w:iCs/>
      <w:caps/>
      <w:spacing w:val="10"/>
      <w:kern w:val="0"/>
      <w:sz w:val="20"/>
      <w:szCs w:val="20"/>
      <w:lang w:eastAsia="en-US" w:bidi="en-US"/>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keepNext w:val="0"/>
      <w:keepLines w:val="0"/>
      <w:spacing w:before="0" w:beforeLines="0" w:line="240" w:lineRule="auto"/>
      <w:ind w:left="1320" w:firstLine="0" w:firstLineChars="0"/>
      <w:jc w:val="left"/>
    </w:pPr>
    <w:rPr>
      <w:rFonts w:asciiTheme="minorHAnsi" w:hAnsiTheme="minorHAnsi" w:eastAsiaTheme="majorEastAsia" w:cstheme="minorHAnsi"/>
      <w:kern w:val="0"/>
      <w:sz w:val="18"/>
      <w:szCs w:val="18"/>
      <w:lang w:eastAsia="en-US" w:bidi="en-US"/>
    </w:rPr>
  </w:style>
  <w:style w:type="paragraph" w:styleId="12">
    <w:name w:val="caption"/>
    <w:basedOn w:val="1"/>
    <w:next w:val="1"/>
    <w:unhideWhenUsed/>
    <w:qFormat/>
    <w:uiPriority w:val="35"/>
    <w:pPr>
      <w:keepNext w:val="0"/>
      <w:keepLines w:val="0"/>
      <w:spacing w:before="0" w:beforeLines="0" w:after="200" w:line="252" w:lineRule="auto"/>
      <w:ind w:firstLine="0" w:firstLineChars="0"/>
      <w:jc w:val="left"/>
    </w:pPr>
    <w:rPr>
      <w:rFonts w:asciiTheme="majorHAnsi" w:hAnsiTheme="majorHAnsi" w:eastAsiaTheme="majorEastAsia" w:cstheme="majorBidi"/>
      <w:caps/>
      <w:spacing w:val="10"/>
      <w:kern w:val="0"/>
      <w:sz w:val="18"/>
      <w:szCs w:val="18"/>
      <w:lang w:eastAsia="en-US" w:bidi="en-US"/>
    </w:rPr>
  </w:style>
  <w:style w:type="paragraph" w:styleId="13">
    <w:name w:val="Document Map"/>
    <w:basedOn w:val="1"/>
    <w:link w:val="99"/>
    <w:semiHidden/>
    <w:unhideWhenUsed/>
    <w:qFormat/>
    <w:uiPriority w:val="99"/>
    <w:pPr>
      <w:keepNext w:val="0"/>
      <w:keepLines w:val="0"/>
      <w:spacing w:before="0" w:beforeLines="0" w:line="240" w:lineRule="auto"/>
      <w:ind w:firstLine="0" w:firstLineChars="0"/>
    </w:pPr>
    <w:rPr>
      <w:rFonts w:ascii="宋体" w:hAnsiTheme="minorHAnsi"/>
      <w:sz w:val="18"/>
      <w:szCs w:val="18"/>
    </w:rPr>
  </w:style>
  <w:style w:type="paragraph" w:styleId="14">
    <w:name w:val="annotation text"/>
    <w:basedOn w:val="1"/>
    <w:link w:val="46"/>
    <w:unhideWhenUsed/>
    <w:qFormat/>
    <w:uiPriority w:val="99"/>
    <w:pPr>
      <w:jc w:val="left"/>
    </w:pPr>
  </w:style>
  <w:style w:type="paragraph" w:styleId="15">
    <w:name w:val="toc 5"/>
    <w:basedOn w:val="1"/>
    <w:next w:val="1"/>
    <w:unhideWhenUsed/>
    <w:qFormat/>
    <w:uiPriority w:val="39"/>
    <w:pPr>
      <w:keepNext w:val="0"/>
      <w:keepLines w:val="0"/>
      <w:spacing w:before="0" w:beforeLines="0" w:line="240" w:lineRule="auto"/>
      <w:ind w:left="880" w:firstLine="0" w:firstLineChars="0"/>
      <w:jc w:val="left"/>
    </w:pPr>
    <w:rPr>
      <w:rFonts w:asciiTheme="minorHAnsi" w:hAnsiTheme="minorHAnsi" w:eastAsiaTheme="majorEastAsia" w:cstheme="minorHAnsi"/>
      <w:kern w:val="0"/>
      <w:sz w:val="18"/>
      <w:szCs w:val="18"/>
      <w:lang w:eastAsia="en-US" w:bidi="en-US"/>
    </w:rPr>
  </w:style>
  <w:style w:type="paragraph" w:styleId="16">
    <w:name w:val="toc 3"/>
    <w:basedOn w:val="1"/>
    <w:next w:val="1"/>
    <w:autoRedefine/>
    <w:unhideWhenUsed/>
    <w:qFormat/>
    <w:uiPriority w:val="39"/>
    <w:pPr>
      <w:ind w:left="840" w:leftChars="400"/>
    </w:pPr>
  </w:style>
  <w:style w:type="paragraph" w:styleId="17">
    <w:name w:val="toc 8"/>
    <w:basedOn w:val="1"/>
    <w:next w:val="1"/>
    <w:unhideWhenUsed/>
    <w:qFormat/>
    <w:uiPriority w:val="39"/>
    <w:pPr>
      <w:keepNext w:val="0"/>
      <w:keepLines w:val="0"/>
      <w:spacing w:before="0" w:beforeLines="0" w:line="240" w:lineRule="auto"/>
      <w:ind w:left="1540" w:firstLine="0" w:firstLineChars="0"/>
      <w:jc w:val="left"/>
    </w:pPr>
    <w:rPr>
      <w:rFonts w:asciiTheme="minorHAnsi" w:hAnsiTheme="minorHAnsi" w:eastAsiaTheme="majorEastAsia" w:cstheme="minorHAnsi"/>
      <w:kern w:val="0"/>
      <w:sz w:val="18"/>
      <w:szCs w:val="18"/>
      <w:lang w:eastAsia="en-US" w:bidi="en-US"/>
    </w:rPr>
  </w:style>
  <w:style w:type="paragraph" w:styleId="18">
    <w:name w:val="Date"/>
    <w:basedOn w:val="1"/>
    <w:next w:val="1"/>
    <w:link w:val="51"/>
    <w:unhideWhenUsed/>
    <w:qFormat/>
    <w:uiPriority w:val="0"/>
    <w:pPr>
      <w:ind w:left="100" w:leftChars="2500"/>
    </w:pPr>
  </w:style>
  <w:style w:type="paragraph" w:styleId="19">
    <w:name w:val="Balloon Text"/>
    <w:basedOn w:val="1"/>
    <w:link w:val="48"/>
    <w:unhideWhenUsed/>
    <w:qFormat/>
    <w:uiPriority w:val="99"/>
    <w:pPr>
      <w:spacing w:before="0" w:line="240" w:lineRule="auto"/>
    </w:pPr>
    <w:rPr>
      <w:sz w:val="18"/>
      <w:szCs w:val="18"/>
    </w:rPr>
  </w:style>
  <w:style w:type="paragraph" w:styleId="20">
    <w:name w:val="footer"/>
    <w:basedOn w:val="1"/>
    <w:link w:val="43"/>
    <w:unhideWhenUsed/>
    <w:qFormat/>
    <w:uiPriority w:val="99"/>
    <w:pPr>
      <w:tabs>
        <w:tab w:val="center" w:pos="4153"/>
        <w:tab w:val="right" w:pos="8306"/>
      </w:tabs>
      <w:snapToGrid w:val="0"/>
      <w:spacing w:line="240" w:lineRule="auto"/>
      <w:jc w:val="left"/>
    </w:pPr>
    <w:rPr>
      <w:sz w:val="18"/>
      <w:szCs w:val="18"/>
    </w:rPr>
  </w:style>
  <w:style w:type="paragraph" w:styleId="21">
    <w:name w:val="header"/>
    <w:basedOn w:val="1"/>
    <w:link w:val="42"/>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2">
    <w:name w:val="toc 1"/>
    <w:basedOn w:val="1"/>
    <w:next w:val="1"/>
    <w:autoRedefine/>
    <w:unhideWhenUsed/>
    <w:qFormat/>
    <w:uiPriority w:val="39"/>
  </w:style>
  <w:style w:type="paragraph" w:styleId="23">
    <w:name w:val="toc 4"/>
    <w:basedOn w:val="1"/>
    <w:next w:val="1"/>
    <w:unhideWhenUsed/>
    <w:qFormat/>
    <w:uiPriority w:val="39"/>
    <w:pPr>
      <w:keepNext w:val="0"/>
      <w:keepLines w:val="0"/>
      <w:spacing w:before="0" w:beforeLines="0" w:line="240" w:lineRule="auto"/>
      <w:ind w:left="660" w:firstLine="0" w:firstLineChars="0"/>
      <w:jc w:val="left"/>
    </w:pPr>
    <w:rPr>
      <w:rFonts w:asciiTheme="minorHAnsi" w:hAnsiTheme="minorHAnsi" w:eastAsiaTheme="majorEastAsia" w:cstheme="minorHAnsi"/>
      <w:kern w:val="0"/>
      <w:sz w:val="18"/>
      <w:szCs w:val="18"/>
      <w:lang w:eastAsia="en-US" w:bidi="en-US"/>
    </w:rPr>
  </w:style>
  <w:style w:type="paragraph" w:styleId="24">
    <w:name w:val="Subtitle"/>
    <w:basedOn w:val="1"/>
    <w:next w:val="1"/>
    <w:link w:val="84"/>
    <w:qFormat/>
    <w:uiPriority w:val="11"/>
    <w:pPr>
      <w:keepNext w:val="0"/>
      <w:keepLines w:val="0"/>
      <w:spacing w:before="240" w:beforeLines="0" w:after="60" w:line="312" w:lineRule="auto"/>
      <w:ind w:firstLine="0" w:firstLineChars="0"/>
      <w:jc w:val="center"/>
      <w:outlineLvl w:val="1"/>
    </w:pPr>
    <w:rPr>
      <w:rFonts w:ascii="Calibri Light" w:hAnsi="Calibri Light" w:cs="Times New Roman"/>
      <w:caps/>
      <w:spacing w:val="20"/>
      <w:kern w:val="0"/>
      <w:sz w:val="18"/>
      <w:szCs w:val="18"/>
      <w:lang w:eastAsia="en-US" w:bidi="en-US"/>
    </w:rPr>
  </w:style>
  <w:style w:type="paragraph" w:styleId="25">
    <w:name w:val="toc 6"/>
    <w:basedOn w:val="1"/>
    <w:next w:val="1"/>
    <w:unhideWhenUsed/>
    <w:qFormat/>
    <w:uiPriority w:val="39"/>
    <w:pPr>
      <w:keepNext w:val="0"/>
      <w:keepLines w:val="0"/>
      <w:spacing w:before="0" w:beforeLines="0" w:line="240" w:lineRule="auto"/>
      <w:ind w:left="1100" w:firstLine="0" w:firstLineChars="0"/>
      <w:jc w:val="left"/>
    </w:pPr>
    <w:rPr>
      <w:rFonts w:asciiTheme="minorHAnsi" w:hAnsiTheme="minorHAnsi" w:eastAsiaTheme="majorEastAsia" w:cstheme="minorHAnsi"/>
      <w:kern w:val="0"/>
      <w:sz w:val="18"/>
      <w:szCs w:val="18"/>
      <w:lang w:eastAsia="en-US" w:bidi="en-US"/>
    </w:rPr>
  </w:style>
  <w:style w:type="paragraph" w:styleId="26">
    <w:name w:val="toc 2"/>
    <w:basedOn w:val="1"/>
    <w:next w:val="1"/>
    <w:autoRedefine/>
    <w:unhideWhenUsed/>
    <w:qFormat/>
    <w:uiPriority w:val="39"/>
    <w:pPr>
      <w:ind w:left="420" w:leftChars="200"/>
    </w:pPr>
  </w:style>
  <w:style w:type="paragraph" w:styleId="27">
    <w:name w:val="toc 9"/>
    <w:basedOn w:val="1"/>
    <w:next w:val="1"/>
    <w:unhideWhenUsed/>
    <w:qFormat/>
    <w:uiPriority w:val="39"/>
    <w:pPr>
      <w:keepNext w:val="0"/>
      <w:keepLines w:val="0"/>
      <w:spacing w:before="0" w:beforeLines="0" w:line="240" w:lineRule="auto"/>
      <w:ind w:left="1760" w:firstLine="0" w:firstLineChars="0"/>
      <w:jc w:val="left"/>
    </w:pPr>
    <w:rPr>
      <w:rFonts w:asciiTheme="minorHAnsi" w:hAnsiTheme="minorHAnsi" w:eastAsiaTheme="majorEastAsia" w:cstheme="minorHAnsi"/>
      <w:kern w:val="0"/>
      <w:sz w:val="18"/>
      <w:szCs w:val="18"/>
      <w:lang w:eastAsia="en-US" w:bidi="en-US"/>
    </w:rPr>
  </w:style>
  <w:style w:type="paragraph" w:styleId="28">
    <w:name w:val="Normal (Web)"/>
    <w:basedOn w:val="1"/>
    <w:unhideWhenUsed/>
    <w:qFormat/>
    <w:uiPriority w:val="99"/>
    <w:pPr>
      <w:keepNext w:val="0"/>
      <w:keepLines w:val="0"/>
      <w:spacing w:before="100" w:beforeLines="0" w:beforeAutospacing="1" w:after="100" w:afterAutospacing="1" w:line="240" w:lineRule="auto"/>
      <w:ind w:firstLine="0" w:firstLineChars="0"/>
      <w:jc w:val="left"/>
    </w:pPr>
    <w:rPr>
      <w:rFonts w:ascii="宋体" w:hAnsi="宋体" w:cs="宋体"/>
      <w:kern w:val="0"/>
      <w:szCs w:val="24"/>
    </w:rPr>
  </w:style>
  <w:style w:type="paragraph" w:styleId="29">
    <w:name w:val="Title"/>
    <w:basedOn w:val="1"/>
    <w:next w:val="1"/>
    <w:link w:val="82"/>
    <w:qFormat/>
    <w:uiPriority w:val="10"/>
    <w:pPr>
      <w:keepNext w:val="0"/>
      <w:keepLines w:val="0"/>
      <w:spacing w:before="240" w:beforeLines="0" w:after="60" w:line="240" w:lineRule="auto"/>
      <w:ind w:firstLine="0" w:firstLineChars="0"/>
      <w:jc w:val="center"/>
      <w:outlineLvl w:val="0"/>
    </w:pPr>
    <w:rPr>
      <w:rFonts w:ascii="Calibri Light" w:hAnsi="Calibri Light" w:cs="Times New Roman"/>
      <w:caps/>
      <w:color w:val="833C0B"/>
      <w:spacing w:val="50"/>
      <w:kern w:val="0"/>
      <w:sz w:val="44"/>
      <w:szCs w:val="44"/>
      <w:lang w:eastAsia="en-US" w:bidi="en-US"/>
    </w:rPr>
  </w:style>
  <w:style w:type="paragraph" w:styleId="30">
    <w:name w:val="annotation subject"/>
    <w:basedOn w:val="14"/>
    <w:next w:val="14"/>
    <w:link w:val="47"/>
    <w:semiHidden/>
    <w:unhideWhenUsed/>
    <w:qFormat/>
    <w:uiPriority w:val="99"/>
    <w:rPr>
      <w:b/>
      <w:bCs/>
    </w:rPr>
  </w:style>
  <w:style w:type="table" w:styleId="32">
    <w:name w:val="Table Grid"/>
    <w:basedOn w:val="3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qFormat/>
    <w:uiPriority w:val="22"/>
    <w:rPr>
      <w:b/>
      <w:bCs/>
    </w:rPr>
  </w:style>
  <w:style w:type="character" w:styleId="35">
    <w:name w:val="Emphasis"/>
    <w:qFormat/>
    <w:uiPriority w:val="20"/>
    <w:rPr>
      <w:caps/>
      <w:spacing w:val="5"/>
      <w:sz w:val="20"/>
      <w:szCs w:val="20"/>
    </w:rPr>
  </w:style>
  <w:style w:type="character" w:styleId="36">
    <w:name w:val="Hyperlink"/>
    <w:basedOn w:val="33"/>
    <w:unhideWhenUsed/>
    <w:qFormat/>
    <w:uiPriority w:val="99"/>
    <w:rPr>
      <w:color w:val="0563C1" w:themeColor="hyperlink"/>
      <w:u w:val="single"/>
      <w14:textFill>
        <w14:solidFill>
          <w14:schemeClr w14:val="hlink"/>
        </w14:solidFill>
      </w14:textFill>
    </w:rPr>
  </w:style>
  <w:style w:type="character" w:styleId="37">
    <w:name w:val="HTML Code"/>
    <w:basedOn w:val="33"/>
    <w:semiHidden/>
    <w:unhideWhenUsed/>
    <w:qFormat/>
    <w:uiPriority w:val="99"/>
    <w:rPr>
      <w:rFonts w:ascii="宋体" w:hAnsi="宋体" w:eastAsia="宋体" w:cs="宋体"/>
      <w:sz w:val="24"/>
      <w:szCs w:val="24"/>
    </w:rPr>
  </w:style>
  <w:style w:type="character" w:styleId="38">
    <w:name w:val="annotation reference"/>
    <w:basedOn w:val="33"/>
    <w:semiHidden/>
    <w:unhideWhenUsed/>
    <w:qFormat/>
    <w:uiPriority w:val="99"/>
    <w:rPr>
      <w:sz w:val="21"/>
      <w:szCs w:val="21"/>
    </w:rPr>
  </w:style>
  <w:style w:type="paragraph" w:styleId="39">
    <w:name w:val="No Spacing"/>
    <w:qFormat/>
    <w:uiPriority w:val="1"/>
    <w:pPr>
      <w:keepNext/>
      <w:keepLines/>
      <w:widowControl w:val="0"/>
      <w:spacing w:line="288" w:lineRule="auto"/>
      <w:jc w:val="center"/>
    </w:pPr>
    <w:rPr>
      <w:rFonts w:ascii="Cambria Math" w:hAnsi="Cambria Math" w:eastAsia="宋体" w:cstheme="minorBidi"/>
      <w:kern w:val="2"/>
      <w:sz w:val="24"/>
      <w:szCs w:val="28"/>
      <w:lang w:val="en-US" w:eastAsia="zh-CN" w:bidi="ar-SA"/>
    </w:rPr>
  </w:style>
  <w:style w:type="character" w:customStyle="1" w:styleId="40">
    <w:name w:val="标题 1 字符"/>
    <w:basedOn w:val="33"/>
    <w:link w:val="2"/>
    <w:uiPriority w:val="9"/>
    <w:rPr>
      <w:rFonts w:ascii="Times New Roman" w:hAnsi="Times New Roman" w:eastAsia="微软雅黑"/>
      <w:bCs/>
      <w:kern w:val="44"/>
      <w:sz w:val="44"/>
      <w:szCs w:val="44"/>
    </w:rPr>
  </w:style>
  <w:style w:type="character" w:customStyle="1" w:styleId="41">
    <w:name w:val="标题 2 字符"/>
    <w:basedOn w:val="33"/>
    <w:link w:val="3"/>
    <w:qFormat/>
    <w:uiPriority w:val="9"/>
    <w:rPr>
      <w:rFonts w:ascii="Times New Roman" w:hAnsi="Times New Roman" w:eastAsia="微软雅黑" w:cstheme="majorBidi"/>
      <w:bCs/>
      <w:sz w:val="28"/>
      <w:szCs w:val="32"/>
    </w:rPr>
  </w:style>
  <w:style w:type="character" w:customStyle="1" w:styleId="42">
    <w:name w:val="页眉 字符"/>
    <w:basedOn w:val="33"/>
    <w:link w:val="21"/>
    <w:qFormat/>
    <w:uiPriority w:val="99"/>
    <w:rPr>
      <w:rFonts w:ascii="Times New Roman" w:hAnsi="Times New Roman" w:eastAsia="宋体"/>
      <w:sz w:val="18"/>
      <w:szCs w:val="18"/>
    </w:rPr>
  </w:style>
  <w:style w:type="character" w:customStyle="1" w:styleId="43">
    <w:name w:val="页脚 字符"/>
    <w:basedOn w:val="33"/>
    <w:link w:val="20"/>
    <w:qFormat/>
    <w:uiPriority w:val="99"/>
    <w:rPr>
      <w:rFonts w:ascii="Times New Roman" w:hAnsi="Times New Roman" w:eastAsia="宋体"/>
      <w:sz w:val="18"/>
      <w:szCs w:val="18"/>
    </w:rPr>
  </w:style>
  <w:style w:type="character" w:customStyle="1" w:styleId="44">
    <w:name w:val="标题 3 字符"/>
    <w:basedOn w:val="33"/>
    <w:link w:val="4"/>
    <w:qFormat/>
    <w:uiPriority w:val="0"/>
    <w:rPr>
      <w:rFonts w:ascii="Times New Roman" w:hAnsi="Times New Roman" w:eastAsia="宋体"/>
      <w:bCs/>
      <w:sz w:val="28"/>
      <w:szCs w:val="32"/>
    </w:rPr>
  </w:style>
  <w:style w:type="paragraph" w:styleId="45">
    <w:name w:val="List Paragraph"/>
    <w:basedOn w:val="1"/>
    <w:qFormat/>
    <w:uiPriority w:val="34"/>
    <w:pPr>
      <w:ind w:firstLine="420"/>
    </w:pPr>
  </w:style>
  <w:style w:type="character" w:customStyle="1" w:styleId="46">
    <w:name w:val="批注文字 字符"/>
    <w:basedOn w:val="33"/>
    <w:link w:val="14"/>
    <w:qFormat/>
    <w:uiPriority w:val="99"/>
    <w:rPr>
      <w:rFonts w:ascii="Times New Roman" w:hAnsi="Times New Roman" w:eastAsia="宋体"/>
      <w:sz w:val="24"/>
    </w:rPr>
  </w:style>
  <w:style w:type="character" w:customStyle="1" w:styleId="47">
    <w:name w:val="批注主题 字符"/>
    <w:basedOn w:val="46"/>
    <w:link w:val="30"/>
    <w:semiHidden/>
    <w:qFormat/>
    <w:uiPriority w:val="99"/>
    <w:rPr>
      <w:rFonts w:ascii="Times New Roman" w:hAnsi="Times New Roman" w:eastAsia="宋体"/>
      <w:b/>
      <w:bCs/>
      <w:sz w:val="24"/>
    </w:rPr>
  </w:style>
  <w:style w:type="character" w:customStyle="1" w:styleId="48">
    <w:name w:val="批注框文本 字符"/>
    <w:basedOn w:val="33"/>
    <w:link w:val="19"/>
    <w:qFormat/>
    <w:uiPriority w:val="99"/>
    <w:rPr>
      <w:rFonts w:ascii="Times New Roman" w:hAnsi="Times New Roman" w:eastAsia="宋体"/>
      <w:sz w:val="18"/>
      <w:szCs w:val="18"/>
    </w:rPr>
  </w:style>
  <w:style w:type="character" w:customStyle="1" w:styleId="49">
    <w:name w:val="标题 4 字符"/>
    <w:basedOn w:val="33"/>
    <w:link w:val="5"/>
    <w:qFormat/>
    <w:uiPriority w:val="9"/>
    <w:rPr>
      <w:rFonts w:ascii="Times New Roman" w:hAnsi="Times New Roman" w:eastAsia="宋体" w:cstheme="majorBidi"/>
      <w:bCs/>
      <w:sz w:val="24"/>
      <w:szCs w:val="28"/>
    </w:rPr>
  </w:style>
  <w:style w:type="character" w:styleId="50">
    <w:name w:val="Placeholder Text"/>
    <w:basedOn w:val="33"/>
    <w:semiHidden/>
    <w:qFormat/>
    <w:uiPriority w:val="99"/>
    <w:rPr>
      <w:color w:val="808080"/>
    </w:rPr>
  </w:style>
  <w:style w:type="character" w:customStyle="1" w:styleId="51">
    <w:name w:val="日期 字符"/>
    <w:basedOn w:val="33"/>
    <w:link w:val="18"/>
    <w:qFormat/>
    <w:uiPriority w:val="0"/>
    <w:rPr>
      <w:rFonts w:ascii="Times New Roman" w:hAnsi="Times New Roman" w:eastAsia="宋体"/>
      <w:sz w:val="24"/>
    </w:rPr>
  </w:style>
  <w:style w:type="paragraph" w:customStyle="1" w:styleId="52">
    <w:name w:val="TOC Heading"/>
    <w:basedOn w:val="2"/>
    <w:next w:val="1"/>
    <w:unhideWhenUsed/>
    <w:qFormat/>
    <w:uiPriority w:val="39"/>
    <w:pPr>
      <w:spacing w:before="240" w:beforeLines="0" w:after="0" w:line="259" w:lineRule="auto"/>
      <w:jc w:val="left"/>
      <w:outlineLvl w:val="9"/>
    </w:pPr>
    <w:rPr>
      <w:rFonts w:asciiTheme="majorHAnsi" w:hAnsiTheme="majorHAnsi" w:eastAsiaTheme="majorEastAsia" w:cstheme="majorBidi"/>
      <w:bCs w:val="0"/>
      <w:color w:val="2E75B6" w:themeColor="accent1" w:themeShade="BF"/>
      <w:kern w:val="0"/>
      <w:sz w:val="32"/>
      <w:szCs w:val="32"/>
    </w:rPr>
  </w:style>
  <w:style w:type="paragraph" w:customStyle="1" w:styleId="53">
    <w:name w:val="目录"/>
    <w:basedOn w:val="1"/>
    <w:link w:val="54"/>
    <w:qFormat/>
    <w:uiPriority w:val="0"/>
    <w:pPr>
      <w:spacing w:before="0" w:beforeLines="0" w:line="240" w:lineRule="auto"/>
      <w:ind w:firstLine="0" w:firstLineChars="0"/>
      <w:jc w:val="left"/>
    </w:pPr>
    <w:rPr>
      <w:rFonts w:cs="Times New Roman"/>
      <w:bCs/>
      <w:szCs w:val="24"/>
    </w:rPr>
  </w:style>
  <w:style w:type="character" w:customStyle="1" w:styleId="54">
    <w:name w:val="目录 字符"/>
    <w:basedOn w:val="33"/>
    <w:link w:val="53"/>
    <w:qFormat/>
    <w:uiPriority w:val="0"/>
    <w:rPr>
      <w:rFonts w:ascii="Times New Roman" w:hAnsi="Times New Roman" w:eastAsia="宋体" w:cs="Times New Roman"/>
      <w:bCs/>
      <w:sz w:val="24"/>
      <w:szCs w:val="24"/>
    </w:rPr>
  </w:style>
  <w:style w:type="paragraph" w:customStyle="1" w:styleId="55">
    <w:name w:val="ds-markdown-paragraph"/>
    <w:basedOn w:val="1"/>
    <w:qFormat/>
    <w:uiPriority w:val="0"/>
    <w:pPr>
      <w:keepNext w:val="0"/>
      <w:keepLines w:val="0"/>
      <w:spacing w:before="100" w:beforeLines="0" w:beforeAutospacing="1" w:after="100" w:afterAutospacing="1" w:line="240" w:lineRule="auto"/>
      <w:ind w:firstLine="0" w:firstLineChars="0"/>
      <w:jc w:val="left"/>
    </w:pPr>
    <w:rPr>
      <w:rFonts w:ascii="宋体" w:hAnsi="宋体" w:cs="宋体"/>
      <w:kern w:val="0"/>
      <w:szCs w:val="24"/>
    </w:rPr>
  </w:style>
  <w:style w:type="character" w:customStyle="1" w:styleId="56">
    <w:name w:val="katex-mathml"/>
    <w:basedOn w:val="33"/>
    <w:uiPriority w:val="0"/>
  </w:style>
  <w:style w:type="character" w:customStyle="1" w:styleId="57">
    <w:name w:val="mord"/>
    <w:basedOn w:val="33"/>
    <w:qFormat/>
    <w:uiPriority w:val="0"/>
  </w:style>
  <w:style w:type="character" w:customStyle="1" w:styleId="58">
    <w:name w:val="vlist-s"/>
    <w:basedOn w:val="33"/>
    <w:uiPriority w:val="0"/>
  </w:style>
  <w:style w:type="character" w:customStyle="1" w:styleId="59">
    <w:name w:val="mopen"/>
    <w:basedOn w:val="33"/>
    <w:uiPriority w:val="0"/>
  </w:style>
  <w:style w:type="character" w:customStyle="1" w:styleId="60">
    <w:name w:val="mclose"/>
    <w:basedOn w:val="33"/>
    <w:uiPriority w:val="0"/>
  </w:style>
  <w:style w:type="character" w:customStyle="1" w:styleId="61">
    <w:name w:val="fontstyle01"/>
    <w:basedOn w:val="33"/>
    <w:uiPriority w:val="0"/>
    <w:rPr>
      <w:rFonts w:hint="default" w:ascii="Times New Roman" w:hAnsi="Times New Roman" w:cs="Times New Roman"/>
      <w:color w:val="000000"/>
      <w:sz w:val="18"/>
      <w:szCs w:val="18"/>
    </w:rPr>
  </w:style>
  <w:style w:type="character" w:customStyle="1" w:styleId="62">
    <w:name w:val="fontstyle11"/>
    <w:basedOn w:val="33"/>
    <w:qFormat/>
    <w:uiPriority w:val="0"/>
    <w:rPr>
      <w:rFonts w:hint="eastAsia" w:ascii="黑体" w:hAnsi="黑体" w:eastAsia="黑体"/>
      <w:color w:val="000000"/>
      <w:sz w:val="18"/>
      <w:szCs w:val="18"/>
    </w:rPr>
  </w:style>
  <w:style w:type="character" w:customStyle="1" w:styleId="63">
    <w:name w:val="mrel"/>
    <w:basedOn w:val="33"/>
    <w:qFormat/>
    <w:uiPriority w:val="0"/>
  </w:style>
  <w:style w:type="character" w:customStyle="1" w:styleId="64">
    <w:name w:val="标题 5 字符"/>
    <w:basedOn w:val="33"/>
    <w:link w:val="6"/>
    <w:semiHidden/>
    <w:qFormat/>
    <w:uiPriority w:val="9"/>
    <w:rPr>
      <w:rFonts w:ascii="Calibri Light" w:hAnsi="Calibri Light" w:eastAsia="宋体" w:cs="Times New Roman"/>
      <w:caps/>
      <w:color w:val="823B0B"/>
      <w:spacing w:val="10"/>
      <w:kern w:val="0"/>
      <w:sz w:val="22"/>
      <w:lang w:eastAsia="en-US" w:bidi="en-US"/>
    </w:rPr>
  </w:style>
  <w:style w:type="character" w:customStyle="1" w:styleId="65">
    <w:name w:val="标题 6 字符"/>
    <w:basedOn w:val="33"/>
    <w:link w:val="7"/>
    <w:semiHidden/>
    <w:uiPriority w:val="9"/>
    <w:rPr>
      <w:rFonts w:ascii="Calibri Light" w:hAnsi="Calibri Light" w:eastAsia="宋体" w:cs="Times New Roman"/>
      <w:caps/>
      <w:color w:val="C45911"/>
      <w:spacing w:val="10"/>
      <w:kern w:val="0"/>
      <w:sz w:val="22"/>
      <w:lang w:eastAsia="en-US" w:bidi="en-US"/>
    </w:rPr>
  </w:style>
  <w:style w:type="character" w:customStyle="1" w:styleId="66">
    <w:name w:val="标题 7 字符"/>
    <w:basedOn w:val="33"/>
    <w:link w:val="8"/>
    <w:semiHidden/>
    <w:qFormat/>
    <w:uiPriority w:val="9"/>
    <w:rPr>
      <w:rFonts w:ascii="Calibri Light" w:hAnsi="Calibri Light" w:eastAsia="宋体" w:cs="Times New Roman"/>
      <w:i/>
      <w:iCs/>
      <w:caps/>
      <w:color w:val="C45911"/>
      <w:spacing w:val="10"/>
      <w:kern w:val="0"/>
      <w:sz w:val="22"/>
      <w:lang w:eastAsia="en-US" w:bidi="en-US"/>
    </w:rPr>
  </w:style>
  <w:style w:type="character" w:customStyle="1" w:styleId="67">
    <w:name w:val="标题 8 字符"/>
    <w:basedOn w:val="33"/>
    <w:link w:val="9"/>
    <w:semiHidden/>
    <w:qFormat/>
    <w:uiPriority w:val="9"/>
    <w:rPr>
      <w:rFonts w:ascii="Calibri Light" w:hAnsi="Calibri Light" w:eastAsia="宋体" w:cs="Times New Roman"/>
      <w:caps/>
      <w:spacing w:val="10"/>
      <w:kern w:val="0"/>
      <w:sz w:val="20"/>
      <w:szCs w:val="20"/>
      <w:lang w:eastAsia="en-US" w:bidi="en-US"/>
    </w:rPr>
  </w:style>
  <w:style w:type="character" w:customStyle="1" w:styleId="68">
    <w:name w:val="标题 9 字符"/>
    <w:basedOn w:val="33"/>
    <w:link w:val="10"/>
    <w:semiHidden/>
    <w:uiPriority w:val="9"/>
    <w:rPr>
      <w:rFonts w:ascii="Calibri Light" w:hAnsi="Calibri Light" w:eastAsia="宋体" w:cs="Times New Roman"/>
      <w:i/>
      <w:iCs/>
      <w:caps/>
      <w:spacing w:val="10"/>
      <w:kern w:val="0"/>
      <w:sz w:val="20"/>
      <w:szCs w:val="20"/>
      <w:lang w:eastAsia="en-US" w:bidi="en-US"/>
    </w:rPr>
  </w:style>
  <w:style w:type="paragraph" w:customStyle="1" w:styleId="69">
    <w:name w:val="标题 11"/>
    <w:basedOn w:val="1"/>
    <w:next w:val="1"/>
    <w:link w:val="78"/>
    <w:uiPriority w:val="9"/>
    <w:pPr>
      <w:keepNext w:val="0"/>
      <w:keepLines w:val="0"/>
      <w:pBdr>
        <w:bottom w:val="thinThickSmallGap" w:color="C45911" w:sz="12" w:space="1"/>
      </w:pBdr>
      <w:spacing w:before="400" w:beforeLines="0" w:after="200" w:line="252" w:lineRule="auto"/>
      <w:ind w:firstLine="0" w:firstLineChars="0"/>
      <w:jc w:val="center"/>
      <w:outlineLvl w:val="0"/>
    </w:pPr>
    <w:rPr>
      <w:rFonts w:ascii="Calibri Light" w:hAnsi="Calibri Light" w:cs="Times New Roman"/>
      <w:caps/>
      <w:color w:val="833C0B"/>
      <w:spacing w:val="20"/>
      <w:kern w:val="0"/>
      <w:sz w:val="28"/>
      <w:szCs w:val="28"/>
      <w:lang w:eastAsia="en-US" w:bidi="en-US"/>
    </w:rPr>
  </w:style>
  <w:style w:type="paragraph" w:customStyle="1" w:styleId="70">
    <w:name w:val="标题 21"/>
    <w:basedOn w:val="1"/>
    <w:next w:val="1"/>
    <w:unhideWhenUsed/>
    <w:uiPriority w:val="9"/>
    <w:pPr>
      <w:keepNext w:val="0"/>
      <w:keepLines w:val="0"/>
      <w:pBdr>
        <w:bottom w:val="single" w:color="823B0B" w:sz="4" w:space="1"/>
      </w:pBdr>
      <w:spacing w:before="400" w:beforeLines="0" w:after="200" w:line="252" w:lineRule="auto"/>
      <w:ind w:firstLine="0" w:firstLineChars="0"/>
      <w:jc w:val="center"/>
      <w:outlineLvl w:val="1"/>
    </w:pPr>
    <w:rPr>
      <w:rFonts w:ascii="Calibri Light" w:hAnsi="Calibri Light" w:cs="Times New Roman"/>
      <w:caps/>
      <w:color w:val="833C0B"/>
      <w:spacing w:val="15"/>
      <w:kern w:val="0"/>
      <w:szCs w:val="24"/>
      <w:lang w:eastAsia="en-US" w:bidi="en-US"/>
    </w:rPr>
  </w:style>
  <w:style w:type="paragraph" w:customStyle="1" w:styleId="71">
    <w:name w:val="标题 31"/>
    <w:basedOn w:val="1"/>
    <w:next w:val="1"/>
    <w:unhideWhenUsed/>
    <w:uiPriority w:val="9"/>
    <w:pPr>
      <w:keepNext w:val="0"/>
      <w:keepLines w:val="0"/>
      <w:pBdr>
        <w:top w:val="dotted" w:color="823B0B" w:sz="4" w:space="1"/>
        <w:bottom w:val="dotted" w:color="823B0B" w:sz="4" w:space="1"/>
      </w:pBdr>
      <w:spacing w:before="300" w:beforeLines="0" w:after="200" w:line="252" w:lineRule="auto"/>
      <w:ind w:firstLine="0" w:firstLineChars="0"/>
      <w:jc w:val="center"/>
      <w:outlineLvl w:val="2"/>
    </w:pPr>
    <w:rPr>
      <w:rFonts w:ascii="Calibri Light" w:hAnsi="Calibri Light" w:cs="Times New Roman"/>
      <w:caps/>
      <w:color w:val="823B0B"/>
      <w:kern w:val="0"/>
      <w:szCs w:val="24"/>
      <w:lang w:eastAsia="en-US" w:bidi="en-US"/>
    </w:rPr>
  </w:style>
  <w:style w:type="paragraph" w:customStyle="1" w:styleId="72">
    <w:name w:val="标题 41"/>
    <w:basedOn w:val="1"/>
    <w:next w:val="1"/>
    <w:semiHidden/>
    <w:unhideWhenUsed/>
    <w:qFormat/>
    <w:uiPriority w:val="9"/>
    <w:pPr>
      <w:keepNext w:val="0"/>
      <w:keepLines w:val="0"/>
      <w:pBdr>
        <w:bottom w:val="dotted" w:color="C45911" w:sz="4" w:space="1"/>
      </w:pBdr>
      <w:spacing w:before="0" w:beforeLines="0" w:after="120" w:line="252" w:lineRule="auto"/>
      <w:ind w:firstLine="0" w:firstLineChars="0"/>
      <w:jc w:val="center"/>
      <w:outlineLvl w:val="3"/>
    </w:pPr>
    <w:rPr>
      <w:rFonts w:ascii="Calibri Light" w:hAnsi="Calibri Light" w:cs="Times New Roman"/>
      <w:caps/>
      <w:color w:val="823B0B"/>
      <w:spacing w:val="10"/>
      <w:kern w:val="0"/>
      <w:sz w:val="22"/>
      <w:lang w:eastAsia="en-US" w:bidi="en-US"/>
    </w:rPr>
  </w:style>
  <w:style w:type="paragraph" w:customStyle="1" w:styleId="73">
    <w:name w:val="标题 51"/>
    <w:basedOn w:val="1"/>
    <w:next w:val="1"/>
    <w:semiHidden/>
    <w:unhideWhenUsed/>
    <w:qFormat/>
    <w:uiPriority w:val="9"/>
    <w:pPr>
      <w:keepNext w:val="0"/>
      <w:keepLines w:val="0"/>
      <w:spacing w:before="320" w:beforeLines="0" w:after="120" w:line="252" w:lineRule="auto"/>
      <w:ind w:firstLine="0" w:firstLineChars="0"/>
      <w:jc w:val="center"/>
      <w:outlineLvl w:val="4"/>
    </w:pPr>
    <w:rPr>
      <w:rFonts w:ascii="Calibri Light" w:hAnsi="Calibri Light" w:cs="Times New Roman"/>
      <w:caps/>
      <w:color w:val="823B0B"/>
      <w:spacing w:val="10"/>
      <w:kern w:val="0"/>
      <w:sz w:val="22"/>
      <w:lang w:eastAsia="en-US" w:bidi="en-US"/>
    </w:rPr>
  </w:style>
  <w:style w:type="paragraph" w:customStyle="1" w:styleId="74">
    <w:name w:val="标题 61"/>
    <w:basedOn w:val="1"/>
    <w:next w:val="1"/>
    <w:semiHidden/>
    <w:unhideWhenUsed/>
    <w:qFormat/>
    <w:uiPriority w:val="9"/>
    <w:pPr>
      <w:keepNext w:val="0"/>
      <w:keepLines w:val="0"/>
      <w:spacing w:before="0" w:beforeLines="0" w:after="120" w:line="252" w:lineRule="auto"/>
      <w:ind w:firstLine="0" w:firstLineChars="0"/>
      <w:jc w:val="center"/>
      <w:outlineLvl w:val="5"/>
    </w:pPr>
    <w:rPr>
      <w:rFonts w:ascii="Calibri Light" w:hAnsi="Calibri Light" w:cs="Times New Roman"/>
      <w:caps/>
      <w:color w:val="C45911"/>
      <w:spacing w:val="10"/>
      <w:kern w:val="0"/>
      <w:sz w:val="22"/>
      <w:lang w:eastAsia="en-US" w:bidi="en-US"/>
    </w:rPr>
  </w:style>
  <w:style w:type="paragraph" w:customStyle="1" w:styleId="75">
    <w:name w:val="标题 71"/>
    <w:basedOn w:val="1"/>
    <w:next w:val="1"/>
    <w:semiHidden/>
    <w:unhideWhenUsed/>
    <w:qFormat/>
    <w:uiPriority w:val="9"/>
    <w:pPr>
      <w:keepNext w:val="0"/>
      <w:keepLines w:val="0"/>
      <w:spacing w:before="0" w:beforeLines="0" w:after="120" w:line="252" w:lineRule="auto"/>
      <w:ind w:firstLine="0" w:firstLineChars="0"/>
      <w:jc w:val="center"/>
      <w:outlineLvl w:val="6"/>
    </w:pPr>
    <w:rPr>
      <w:rFonts w:ascii="Calibri Light" w:hAnsi="Calibri Light" w:cs="Times New Roman"/>
      <w:i/>
      <w:iCs/>
      <w:caps/>
      <w:color w:val="C45911"/>
      <w:spacing w:val="10"/>
      <w:kern w:val="0"/>
      <w:sz w:val="22"/>
      <w:lang w:eastAsia="en-US" w:bidi="en-US"/>
    </w:rPr>
  </w:style>
  <w:style w:type="paragraph" w:customStyle="1" w:styleId="76">
    <w:name w:val="标题 81"/>
    <w:basedOn w:val="1"/>
    <w:next w:val="1"/>
    <w:semiHidden/>
    <w:unhideWhenUsed/>
    <w:qFormat/>
    <w:uiPriority w:val="9"/>
    <w:pPr>
      <w:keepNext w:val="0"/>
      <w:keepLines w:val="0"/>
      <w:spacing w:before="0" w:beforeLines="0" w:after="120" w:line="252" w:lineRule="auto"/>
      <w:ind w:firstLine="0" w:firstLineChars="0"/>
      <w:jc w:val="center"/>
      <w:outlineLvl w:val="7"/>
    </w:pPr>
    <w:rPr>
      <w:rFonts w:ascii="Calibri Light" w:hAnsi="Calibri Light" w:cs="Times New Roman"/>
      <w:caps/>
      <w:spacing w:val="10"/>
      <w:kern w:val="0"/>
      <w:sz w:val="20"/>
      <w:szCs w:val="20"/>
      <w:lang w:eastAsia="en-US" w:bidi="en-US"/>
    </w:rPr>
  </w:style>
  <w:style w:type="paragraph" w:customStyle="1" w:styleId="77">
    <w:name w:val="标题 91"/>
    <w:basedOn w:val="1"/>
    <w:next w:val="1"/>
    <w:semiHidden/>
    <w:unhideWhenUsed/>
    <w:qFormat/>
    <w:uiPriority w:val="9"/>
    <w:pPr>
      <w:keepNext w:val="0"/>
      <w:keepLines w:val="0"/>
      <w:spacing w:before="0" w:beforeLines="0" w:after="120" w:line="252" w:lineRule="auto"/>
      <w:ind w:firstLine="0" w:firstLineChars="0"/>
      <w:jc w:val="center"/>
      <w:outlineLvl w:val="8"/>
    </w:pPr>
    <w:rPr>
      <w:rFonts w:ascii="Calibri Light" w:hAnsi="Calibri Light" w:cs="Times New Roman"/>
      <w:i/>
      <w:iCs/>
      <w:caps/>
      <w:spacing w:val="10"/>
      <w:kern w:val="0"/>
      <w:sz w:val="20"/>
      <w:szCs w:val="20"/>
      <w:lang w:eastAsia="en-US" w:bidi="en-US"/>
    </w:rPr>
  </w:style>
  <w:style w:type="character" w:customStyle="1" w:styleId="78">
    <w:name w:val="标题 1 Char"/>
    <w:basedOn w:val="33"/>
    <w:link w:val="69"/>
    <w:qFormat/>
    <w:uiPriority w:val="9"/>
    <w:rPr>
      <w:rFonts w:ascii="Calibri Light" w:hAnsi="Calibri Light" w:eastAsia="宋体" w:cs="Times New Roman"/>
      <w:caps/>
      <w:color w:val="833C0B"/>
      <w:spacing w:val="20"/>
      <w:kern w:val="0"/>
      <w:sz w:val="28"/>
      <w:szCs w:val="28"/>
      <w:lang w:eastAsia="en-US" w:bidi="en-US"/>
    </w:rPr>
  </w:style>
  <w:style w:type="paragraph" w:customStyle="1" w:styleId="79">
    <w:name w:val="样式1"/>
    <w:qFormat/>
    <w:uiPriority w:val="0"/>
    <w:pPr>
      <w:spacing w:after="200" w:line="252" w:lineRule="auto"/>
      <w:ind w:firstLine="560" w:firstLineChars="200"/>
    </w:pPr>
    <w:rPr>
      <w:rFonts w:ascii="Times New Roman" w:hAnsi="Times New Roman" w:eastAsia="宋体" w:cs="Arial"/>
      <w:kern w:val="0"/>
      <w:sz w:val="28"/>
      <w:szCs w:val="28"/>
      <w:lang w:val="en-US" w:eastAsia="de-CH" w:bidi="en-US"/>
    </w:rPr>
  </w:style>
  <w:style w:type="paragraph" w:customStyle="1" w:styleId="80">
    <w:name w:val="题注1"/>
    <w:basedOn w:val="1"/>
    <w:next w:val="1"/>
    <w:unhideWhenUsed/>
    <w:qFormat/>
    <w:uiPriority w:val="35"/>
    <w:pPr>
      <w:keepNext w:val="0"/>
      <w:keepLines w:val="0"/>
      <w:spacing w:before="0" w:beforeLines="0" w:after="200" w:line="252" w:lineRule="auto"/>
      <w:ind w:firstLine="0" w:firstLineChars="0"/>
      <w:jc w:val="left"/>
    </w:pPr>
    <w:rPr>
      <w:rFonts w:ascii="Calibri Light" w:hAnsi="Calibri Light" w:cs="Times New Roman"/>
      <w:caps/>
      <w:spacing w:val="10"/>
      <w:kern w:val="0"/>
      <w:sz w:val="18"/>
      <w:szCs w:val="18"/>
      <w:lang w:eastAsia="en-US" w:bidi="en-US"/>
    </w:rPr>
  </w:style>
  <w:style w:type="paragraph" w:customStyle="1" w:styleId="81">
    <w:name w:val="标题1"/>
    <w:basedOn w:val="1"/>
    <w:next w:val="1"/>
    <w:qFormat/>
    <w:uiPriority w:val="10"/>
    <w:pPr>
      <w:keepNext w:val="0"/>
      <w:keepLines w:val="0"/>
      <w:pBdr>
        <w:top w:val="dotted" w:color="833C0B" w:sz="2" w:space="1"/>
        <w:bottom w:val="dotted" w:color="833C0B" w:sz="2" w:space="6"/>
      </w:pBdr>
      <w:spacing w:before="500" w:beforeLines="0" w:after="300" w:line="240" w:lineRule="auto"/>
      <w:ind w:firstLine="0" w:firstLineChars="0"/>
      <w:jc w:val="center"/>
    </w:pPr>
    <w:rPr>
      <w:rFonts w:ascii="Calibri Light" w:hAnsi="Calibri Light" w:cs="Times New Roman"/>
      <w:caps/>
      <w:color w:val="833C0B"/>
      <w:spacing w:val="50"/>
      <w:kern w:val="0"/>
      <w:sz w:val="44"/>
      <w:szCs w:val="44"/>
      <w:lang w:eastAsia="en-US" w:bidi="en-US"/>
    </w:rPr>
  </w:style>
  <w:style w:type="character" w:customStyle="1" w:styleId="82">
    <w:name w:val="标题 字符"/>
    <w:basedOn w:val="33"/>
    <w:link w:val="29"/>
    <w:qFormat/>
    <w:uiPriority w:val="10"/>
    <w:rPr>
      <w:rFonts w:ascii="Calibri Light" w:hAnsi="Calibri Light" w:eastAsia="宋体" w:cs="Times New Roman"/>
      <w:caps/>
      <w:color w:val="833C0B"/>
      <w:spacing w:val="50"/>
      <w:kern w:val="0"/>
      <w:sz w:val="44"/>
      <w:szCs w:val="44"/>
      <w:lang w:eastAsia="en-US" w:bidi="en-US"/>
    </w:rPr>
  </w:style>
  <w:style w:type="paragraph" w:customStyle="1" w:styleId="83">
    <w:name w:val="副标题1"/>
    <w:basedOn w:val="1"/>
    <w:next w:val="1"/>
    <w:qFormat/>
    <w:uiPriority w:val="11"/>
    <w:pPr>
      <w:keepNext w:val="0"/>
      <w:keepLines w:val="0"/>
      <w:spacing w:before="0" w:beforeLines="0" w:after="560" w:line="240" w:lineRule="auto"/>
      <w:ind w:firstLine="0" w:firstLineChars="0"/>
      <w:jc w:val="center"/>
    </w:pPr>
    <w:rPr>
      <w:rFonts w:ascii="Calibri Light" w:hAnsi="Calibri Light" w:cs="Times New Roman"/>
      <w:caps/>
      <w:spacing w:val="20"/>
      <w:kern w:val="0"/>
      <w:sz w:val="18"/>
      <w:szCs w:val="18"/>
      <w:lang w:eastAsia="en-US" w:bidi="en-US"/>
    </w:rPr>
  </w:style>
  <w:style w:type="character" w:customStyle="1" w:styleId="84">
    <w:name w:val="副标题 字符"/>
    <w:basedOn w:val="33"/>
    <w:link w:val="24"/>
    <w:qFormat/>
    <w:uiPriority w:val="11"/>
    <w:rPr>
      <w:rFonts w:ascii="Calibri Light" w:hAnsi="Calibri Light" w:eastAsia="宋体" w:cs="Times New Roman"/>
      <w:caps/>
      <w:spacing w:val="20"/>
      <w:kern w:val="0"/>
      <w:sz w:val="18"/>
      <w:szCs w:val="18"/>
      <w:lang w:eastAsia="en-US" w:bidi="en-US"/>
    </w:rPr>
  </w:style>
  <w:style w:type="character" w:customStyle="1" w:styleId="85">
    <w:name w:val="要点1"/>
    <w:qFormat/>
    <w:uiPriority w:val="22"/>
    <w:rPr>
      <w:b/>
      <w:bCs/>
      <w:color w:val="C45911"/>
      <w:spacing w:val="5"/>
    </w:rPr>
  </w:style>
  <w:style w:type="paragraph" w:customStyle="1" w:styleId="86">
    <w:name w:val="无间隔1"/>
    <w:basedOn w:val="1"/>
    <w:next w:val="39"/>
    <w:link w:val="87"/>
    <w:qFormat/>
    <w:uiPriority w:val="1"/>
    <w:pPr>
      <w:keepNext w:val="0"/>
      <w:keepLines w:val="0"/>
      <w:spacing w:before="0" w:beforeLines="0" w:line="240" w:lineRule="auto"/>
      <w:ind w:firstLine="0" w:firstLineChars="0"/>
      <w:jc w:val="left"/>
    </w:pPr>
    <w:rPr>
      <w:rFonts w:ascii="Calibri Light" w:hAnsi="Calibri Light" w:cs="Times New Roman"/>
      <w:kern w:val="0"/>
      <w:sz w:val="22"/>
      <w:lang w:eastAsia="en-US" w:bidi="en-US"/>
    </w:rPr>
  </w:style>
  <w:style w:type="character" w:customStyle="1" w:styleId="87">
    <w:name w:val="无间隔 Char"/>
    <w:basedOn w:val="33"/>
    <w:link w:val="86"/>
    <w:qFormat/>
    <w:uiPriority w:val="1"/>
    <w:rPr>
      <w:rFonts w:ascii="Calibri Light" w:hAnsi="Calibri Light" w:eastAsia="宋体" w:cs="Times New Roman"/>
      <w:kern w:val="0"/>
      <w:sz w:val="22"/>
      <w:lang w:eastAsia="en-US" w:bidi="en-US"/>
    </w:rPr>
  </w:style>
  <w:style w:type="paragraph" w:customStyle="1" w:styleId="88">
    <w:name w:val="引用1"/>
    <w:basedOn w:val="1"/>
    <w:next w:val="1"/>
    <w:qFormat/>
    <w:uiPriority w:val="29"/>
    <w:pPr>
      <w:keepNext w:val="0"/>
      <w:keepLines w:val="0"/>
      <w:spacing w:before="0" w:beforeLines="0" w:after="200" w:line="252" w:lineRule="auto"/>
      <w:ind w:firstLine="0" w:firstLineChars="0"/>
      <w:jc w:val="left"/>
    </w:pPr>
    <w:rPr>
      <w:rFonts w:ascii="Calibri Light" w:hAnsi="Calibri Light" w:cs="Times New Roman"/>
      <w:i/>
      <w:iCs/>
      <w:kern w:val="0"/>
      <w:sz w:val="22"/>
      <w:lang w:eastAsia="en-US" w:bidi="en-US"/>
    </w:rPr>
  </w:style>
  <w:style w:type="character" w:customStyle="1" w:styleId="89">
    <w:name w:val="引用 字符"/>
    <w:basedOn w:val="33"/>
    <w:link w:val="90"/>
    <w:qFormat/>
    <w:uiPriority w:val="29"/>
    <w:rPr>
      <w:rFonts w:ascii="Calibri Light" w:hAnsi="Calibri Light" w:eastAsia="宋体" w:cs="Times New Roman"/>
      <w:i/>
      <w:iCs/>
      <w:kern w:val="0"/>
      <w:sz w:val="22"/>
      <w:lang w:eastAsia="en-US" w:bidi="en-US"/>
    </w:rPr>
  </w:style>
  <w:style w:type="paragraph" w:styleId="90">
    <w:name w:val="Quote"/>
    <w:basedOn w:val="1"/>
    <w:next w:val="1"/>
    <w:link w:val="89"/>
    <w:qFormat/>
    <w:uiPriority w:val="29"/>
    <w:pPr>
      <w:keepNext w:val="0"/>
      <w:keepLines w:val="0"/>
      <w:spacing w:before="200" w:beforeLines="0" w:after="160" w:line="240" w:lineRule="auto"/>
      <w:ind w:left="864" w:right="864" w:firstLine="0" w:firstLineChars="0"/>
      <w:jc w:val="center"/>
    </w:pPr>
    <w:rPr>
      <w:rFonts w:ascii="Calibri Light" w:hAnsi="Calibri Light" w:cs="Times New Roman"/>
      <w:i/>
      <w:iCs/>
      <w:kern w:val="0"/>
      <w:sz w:val="22"/>
      <w:lang w:eastAsia="en-US" w:bidi="en-US"/>
    </w:rPr>
  </w:style>
  <w:style w:type="paragraph" w:customStyle="1" w:styleId="91">
    <w:name w:val="明显引用1"/>
    <w:basedOn w:val="1"/>
    <w:next w:val="1"/>
    <w:qFormat/>
    <w:uiPriority w:val="30"/>
    <w:pPr>
      <w:keepNext w:val="0"/>
      <w:keepLines w:val="0"/>
      <w:pBdr>
        <w:top w:val="dotted" w:color="833C0B" w:sz="2" w:space="10"/>
        <w:bottom w:val="dotted" w:color="833C0B" w:sz="2" w:space="4"/>
      </w:pBdr>
      <w:spacing w:before="160" w:beforeLines="0" w:after="200" w:line="300" w:lineRule="auto"/>
      <w:ind w:left="1440" w:right="1440" w:firstLine="0" w:firstLineChars="0"/>
      <w:jc w:val="left"/>
    </w:pPr>
    <w:rPr>
      <w:rFonts w:ascii="Calibri Light" w:hAnsi="Calibri Light" w:cs="Times New Roman"/>
      <w:caps/>
      <w:color w:val="823B0B"/>
      <w:spacing w:val="5"/>
      <w:kern w:val="0"/>
      <w:sz w:val="20"/>
      <w:szCs w:val="20"/>
      <w:lang w:eastAsia="en-US" w:bidi="en-US"/>
    </w:rPr>
  </w:style>
  <w:style w:type="character" w:customStyle="1" w:styleId="92">
    <w:name w:val="明显引用 字符"/>
    <w:basedOn w:val="33"/>
    <w:link w:val="93"/>
    <w:qFormat/>
    <w:uiPriority w:val="30"/>
    <w:rPr>
      <w:rFonts w:ascii="Calibri Light" w:hAnsi="Calibri Light" w:eastAsia="宋体" w:cs="Times New Roman"/>
      <w:caps/>
      <w:color w:val="823B0B"/>
      <w:spacing w:val="5"/>
      <w:kern w:val="0"/>
      <w:sz w:val="20"/>
      <w:szCs w:val="20"/>
      <w:lang w:eastAsia="en-US" w:bidi="en-US"/>
    </w:rPr>
  </w:style>
  <w:style w:type="paragraph" w:styleId="93">
    <w:name w:val="Intense Quote"/>
    <w:basedOn w:val="1"/>
    <w:next w:val="1"/>
    <w:link w:val="92"/>
    <w:qFormat/>
    <w:uiPriority w:val="30"/>
    <w:pPr>
      <w:keepNext w:val="0"/>
      <w:keepLines w:val="0"/>
      <w:pBdr>
        <w:top w:val="single" w:color="5B9BD5" w:themeColor="accent1" w:sz="4" w:space="10"/>
        <w:bottom w:val="single" w:color="5B9BD5" w:themeColor="accent1" w:sz="4" w:space="10"/>
      </w:pBdr>
      <w:spacing w:before="360" w:beforeLines="0" w:after="360" w:line="240" w:lineRule="auto"/>
      <w:ind w:left="864" w:right="864" w:firstLine="0" w:firstLineChars="0"/>
      <w:jc w:val="center"/>
    </w:pPr>
    <w:rPr>
      <w:rFonts w:ascii="Calibri Light" w:hAnsi="Calibri Light" w:cs="Times New Roman"/>
      <w:caps/>
      <w:color w:val="823B0B"/>
      <w:spacing w:val="5"/>
      <w:kern w:val="0"/>
      <w:sz w:val="20"/>
      <w:szCs w:val="20"/>
      <w:lang w:eastAsia="en-US" w:bidi="en-US"/>
    </w:rPr>
  </w:style>
  <w:style w:type="character" w:customStyle="1" w:styleId="94">
    <w:name w:val="Subtle Emphasis"/>
    <w:qFormat/>
    <w:uiPriority w:val="19"/>
    <w:rPr>
      <w:i/>
      <w:iCs/>
    </w:rPr>
  </w:style>
  <w:style w:type="character" w:customStyle="1" w:styleId="95">
    <w:name w:val="Intense Emphasis"/>
    <w:qFormat/>
    <w:uiPriority w:val="21"/>
    <w:rPr>
      <w:i/>
      <w:iCs/>
      <w:caps/>
      <w:spacing w:val="10"/>
      <w:sz w:val="20"/>
      <w:szCs w:val="20"/>
    </w:rPr>
  </w:style>
  <w:style w:type="character" w:customStyle="1" w:styleId="96">
    <w:name w:val="不明显参考1"/>
    <w:basedOn w:val="33"/>
    <w:qFormat/>
    <w:uiPriority w:val="31"/>
    <w:rPr>
      <w:rFonts w:ascii="Calibri" w:hAnsi="Calibri" w:eastAsia="宋体" w:cs="Times New Roman"/>
      <w:i/>
      <w:iCs/>
      <w:color w:val="823B0B"/>
    </w:rPr>
  </w:style>
  <w:style w:type="character" w:customStyle="1" w:styleId="97">
    <w:name w:val="明显参考1"/>
    <w:qFormat/>
    <w:uiPriority w:val="32"/>
    <w:rPr>
      <w:rFonts w:ascii="Calibri" w:hAnsi="Calibri" w:eastAsia="宋体" w:cs="Times New Roman"/>
      <w:b/>
      <w:bCs/>
      <w:i/>
      <w:iCs/>
      <w:color w:val="823B0B"/>
    </w:rPr>
  </w:style>
  <w:style w:type="character" w:customStyle="1" w:styleId="98">
    <w:name w:val="书籍标题1"/>
    <w:qFormat/>
    <w:uiPriority w:val="33"/>
    <w:rPr>
      <w:caps/>
      <w:color w:val="823B0B"/>
      <w:spacing w:val="5"/>
      <w:u w:color="823B0B"/>
    </w:rPr>
  </w:style>
  <w:style w:type="character" w:customStyle="1" w:styleId="99">
    <w:name w:val="文档结构图 字符"/>
    <w:basedOn w:val="33"/>
    <w:link w:val="13"/>
    <w:semiHidden/>
    <w:qFormat/>
    <w:uiPriority w:val="99"/>
    <w:rPr>
      <w:rFonts w:ascii="宋体" w:eastAsia="宋体"/>
      <w:sz w:val="18"/>
      <w:szCs w:val="18"/>
    </w:rPr>
  </w:style>
  <w:style w:type="table" w:customStyle="1" w:styleId="100">
    <w:name w:val="网格型1"/>
    <w:basedOn w:val="31"/>
    <w:qFormat/>
    <w:uiPriority w:val="0"/>
    <w:pPr>
      <w:widowControl w:val="0"/>
      <w:jc w:val="both"/>
    </w:pPr>
    <w:rPr>
      <w:rFonts w:ascii="Times New Roman" w:hAnsi="Times New Roman" w:eastAsia="宋体" w:cs="Times New Roman"/>
      <w:kern w:val="0"/>
      <w:sz w:val="20"/>
      <w:szCs w:val="20"/>
      <w:lang w:eastAsia="en-US" w:bidi="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1">
    <w:name w:val="节一级题序及标题"/>
    <w:qFormat/>
    <w:uiPriority w:val="0"/>
    <w:pPr>
      <w:numPr>
        <w:ilvl w:val="0"/>
        <w:numId w:val="1"/>
      </w:numPr>
      <w:spacing w:line="360" w:lineRule="auto"/>
      <w:outlineLvl w:val="1"/>
    </w:pPr>
    <w:rPr>
      <w:rFonts w:ascii="Times New Roman" w:hAnsi="Times New Roman" w:eastAsia="黑体" w:cs="Times New Roman"/>
      <w:kern w:val="30"/>
      <w:sz w:val="28"/>
      <w:szCs w:val="20"/>
      <w:lang w:val="en-US" w:eastAsia="en-US" w:bidi="en-US"/>
    </w:rPr>
  </w:style>
  <w:style w:type="paragraph" w:customStyle="1" w:styleId="102">
    <w:name w:val="节二级题序及标题"/>
    <w:qFormat/>
    <w:uiPriority w:val="0"/>
    <w:pPr>
      <w:numPr>
        <w:ilvl w:val="1"/>
        <w:numId w:val="1"/>
      </w:numPr>
      <w:spacing w:line="360" w:lineRule="auto"/>
      <w:outlineLvl w:val="2"/>
    </w:pPr>
    <w:rPr>
      <w:rFonts w:ascii="Times New Roman" w:hAnsi="Times New Roman" w:eastAsia="黑体" w:cs="Times New Roman"/>
      <w:kern w:val="28"/>
      <w:sz w:val="28"/>
      <w:szCs w:val="20"/>
      <w:lang w:val="en-US" w:eastAsia="en-US" w:bidi="en-US"/>
    </w:rPr>
  </w:style>
  <w:style w:type="paragraph" w:customStyle="1" w:styleId="103">
    <w:name w:val="节三级题序及标题 Char"/>
    <w:qFormat/>
    <w:uiPriority w:val="0"/>
    <w:pPr>
      <w:numPr>
        <w:ilvl w:val="2"/>
        <w:numId w:val="1"/>
      </w:numPr>
      <w:spacing w:line="360" w:lineRule="auto"/>
      <w:outlineLvl w:val="3"/>
    </w:pPr>
    <w:rPr>
      <w:rFonts w:ascii="Times New Roman" w:hAnsi="Times New Roman" w:eastAsia="黑体" w:cs="Times New Roman"/>
      <w:kern w:val="24"/>
      <w:sz w:val="24"/>
      <w:szCs w:val="20"/>
      <w:lang w:val="en-US" w:eastAsia="en-US" w:bidi="en-US"/>
    </w:rPr>
  </w:style>
  <w:style w:type="table" w:customStyle="1" w:styleId="104">
    <w:name w:val="网格型2"/>
    <w:basedOn w:val="31"/>
    <w:uiPriority w:val="0"/>
    <w:pPr>
      <w:widowControl w:val="0"/>
      <w:jc w:val="both"/>
    </w:pPr>
    <w:rPr>
      <w:rFonts w:ascii="Times New Roman" w:hAnsi="Times New Roman" w:eastAsia="宋体" w:cs="Times New Roman"/>
      <w:kern w:val="0"/>
      <w:sz w:val="20"/>
      <w:szCs w:val="20"/>
      <w:lang w:eastAsia="en-US" w:bidi="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5">
    <w:name w:val="Char Char Char"/>
    <w:basedOn w:val="1"/>
    <w:qFormat/>
    <w:uiPriority w:val="0"/>
    <w:pPr>
      <w:keepNext w:val="0"/>
      <w:keepLines w:val="0"/>
      <w:spacing w:before="0" w:beforeLines="0" w:after="160" w:line="240" w:lineRule="exact"/>
      <w:ind w:firstLine="0" w:firstLineChars="0"/>
      <w:jc w:val="left"/>
    </w:pPr>
    <w:rPr>
      <w:rFonts w:cs="Arial"/>
      <w:kern w:val="0"/>
      <w:sz w:val="20"/>
      <w:szCs w:val="20"/>
      <w:lang w:eastAsia="de-CH" w:bidi="en-US"/>
    </w:rPr>
  </w:style>
  <w:style w:type="table" w:customStyle="1" w:styleId="106">
    <w:name w:val="网格型3"/>
    <w:basedOn w:val="31"/>
    <w:uiPriority w:val="59"/>
    <w:pPr>
      <w:widowControl w:val="0"/>
      <w:jc w:val="both"/>
    </w:pPr>
    <w:rPr>
      <w:rFonts w:ascii="Times New Roman" w:hAnsi="Times New Roman" w:eastAsia="宋体" w:cs="Times New Roman"/>
      <w:kern w:val="0"/>
      <w:sz w:val="20"/>
      <w:szCs w:val="20"/>
      <w:lang w:eastAsia="en-US" w:bidi="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
    <w:name w:val="网格型4"/>
    <w:basedOn w:val="31"/>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
    <w:name w:val="网格型5"/>
    <w:basedOn w:val="31"/>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
    <w:name w:val="网格型6"/>
    <w:basedOn w:val="31"/>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
    <w:name w:val="网格型7"/>
    <w:basedOn w:val="31"/>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
    <w:name w:val="网格型8"/>
    <w:basedOn w:val="31"/>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
    <w:name w:val="网格型9"/>
    <w:basedOn w:val="31"/>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
    <w:name w:val="网格型10"/>
    <w:basedOn w:val="31"/>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
    <w:name w:val="网格型11"/>
    <w:basedOn w:val="31"/>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
    <w:name w:val="网格型12"/>
    <w:basedOn w:val="31"/>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6">
    <w:name w:val="Char Char Char1"/>
    <w:basedOn w:val="1"/>
    <w:qFormat/>
    <w:uiPriority w:val="0"/>
    <w:pPr>
      <w:keepNext w:val="0"/>
      <w:keepLines w:val="0"/>
      <w:spacing w:before="0" w:beforeLines="0" w:after="160" w:line="240" w:lineRule="exact"/>
      <w:ind w:firstLine="0" w:firstLineChars="0"/>
      <w:jc w:val="left"/>
    </w:pPr>
    <w:rPr>
      <w:rFonts w:cs="Arial"/>
      <w:kern w:val="0"/>
      <w:sz w:val="20"/>
      <w:szCs w:val="20"/>
      <w:lang w:eastAsia="de-CH"/>
    </w:rPr>
  </w:style>
  <w:style w:type="character" w:customStyle="1" w:styleId="117">
    <w:name w:val="超链接1"/>
    <w:basedOn w:val="33"/>
    <w:unhideWhenUsed/>
    <w:qFormat/>
    <w:uiPriority w:val="99"/>
    <w:rPr>
      <w:color w:val="0563C1"/>
      <w:u w:val="single"/>
    </w:rPr>
  </w:style>
  <w:style w:type="paragraph" w:customStyle="1" w:styleId="118">
    <w:name w:val="目录 41"/>
    <w:basedOn w:val="1"/>
    <w:next w:val="1"/>
    <w:autoRedefine/>
    <w:unhideWhenUsed/>
    <w:qFormat/>
    <w:uiPriority w:val="39"/>
    <w:pPr>
      <w:keepNext w:val="0"/>
      <w:keepLines w:val="0"/>
      <w:spacing w:before="0" w:beforeLines="0" w:line="240" w:lineRule="auto"/>
      <w:ind w:left="660" w:firstLine="0" w:firstLineChars="0"/>
      <w:jc w:val="left"/>
    </w:pPr>
    <w:rPr>
      <w:rFonts w:cs="Calibri" w:asciiTheme="minorHAnsi" w:hAnsiTheme="minorHAnsi"/>
      <w:kern w:val="0"/>
      <w:sz w:val="18"/>
      <w:szCs w:val="18"/>
      <w:lang w:eastAsia="en-US" w:bidi="en-US"/>
    </w:rPr>
  </w:style>
  <w:style w:type="paragraph" w:customStyle="1" w:styleId="119">
    <w:name w:val="目录 51"/>
    <w:basedOn w:val="1"/>
    <w:next w:val="1"/>
    <w:autoRedefine/>
    <w:unhideWhenUsed/>
    <w:qFormat/>
    <w:uiPriority w:val="39"/>
    <w:pPr>
      <w:keepNext w:val="0"/>
      <w:keepLines w:val="0"/>
      <w:spacing w:before="0" w:beforeLines="0" w:line="240" w:lineRule="auto"/>
      <w:ind w:left="880" w:firstLine="0" w:firstLineChars="0"/>
      <w:jc w:val="left"/>
    </w:pPr>
    <w:rPr>
      <w:rFonts w:cs="Calibri" w:asciiTheme="minorHAnsi" w:hAnsiTheme="minorHAnsi"/>
      <w:kern w:val="0"/>
      <w:sz w:val="18"/>
      <w:szCs w:val="18"/>
      <w:lang w:eastAsia="en-US" w:bidi="en-US"/>
    </w:rPr>
  </w:style>
  <w:style w:type="paragraph" w:customStyle="1" w:styleId="120">
    <w:name w:val="目录 61"/>
    <w:basedOn w:val="1"/>
    <w:next w:val="1"/>
    <w:autoRedefine/>
    <w:unhideWhenUsed/>
    <w:uiPriority w:val="39"/>
    <w:pPr>
      <w:keepNext w:val="0"/>
      <w:keepLines w:val="0"/>
      <w:spacing w:before="0" w:beforeLines="0" w:line="240" w:lineRule="auto"/>
      <w:ind w:left="1100" w:firstLine="0" w:firstLineChars="0"/>
      <w:jc w:val="left"/>
    </w:pPr>
    <w:rPr>
      <w:rFonts w:cs="Calibri" w:asciiTheme="minorHAnsi" w:hAnsiTheme="minorHAnsi"/>
      <w:kern w:val="0"/>
      <w:sz w:val="18"/>
      <w:szCs w:val="18"/>
      <w:lang w:eastAsia="en-US" w:bidi="en-US"/>
    </w:rPr>
  </w:style>
  <w:style w:type="paragraph" w:customStyle="1" w:styleId="121">
    <w:name w:val="目录 71"/>
    <w:basedOn w:val="1"/>
    <w:next w:val="1"/>
    <w:autoRedefine/>
    <w:unhideWhenUsed/>
    <w:uiPriority w:val="39"/>
    <w:pPr>
      <w:keepNext w:val="0"/>
      <w:keepLines w:val="0"/>
      <w:spacing w:before="0" w:beforeLines="0" w:line="240" w:lineRule="auto"/>
      <w:ind w:left="1320" w:firstLine="0" w:firstLineChars="0"/>
      <w:jc w:val="left"/>
    </w:pPr>
    <w:rPr>
      <w:rFonts w:cs="Calibri" w:asciiTheme="minorHAnsi" w:hAnsiTheme="minorHAnsi"/>
      <w:kern w:val="0"/>
      <w:sz w:val="18"/>
      <w:szCs w:val="18"/>
      <w:lang w:eastAsia="en-US" w:bidi="en-US"/>
    </w:rPr>
  </w:style>
  <w:style w:type="paragraph" w:customStyle="1" w:styleId="122">
    <w:name w:val="目录 81"/>
    <w:basedOn w:val="1"/>
    <w:next w:val="1"/>
    <w:autoRedefine/>
    <w:unhideWhenUsed/>
    <w:qFormat/>
    <w:uiPriority w:val="39"/>
    <w:pPr>
      <w:keepNext w:val="0"/>
      <w:keepLines w:val="0"/>
      <w:spacing w:before="0" w:beforeLines="0" w:line="240" w:lineRule="auto"/>
      <w:ind w:left="1540" w:firstLine="0" w:firstLineChars="0"/>
      <w:jc w:val="left"/>
    </w:pPr>
    <w:rPr>
      <w:rFonts w:cs="Calibri" w:asciiTheme="minorHAnsi" w:hAnsiTheme="minorHAnsi"/>
      <w:kern w:val="0"/>
      <w:sz w:val="18"/>
      <w:szCs w:val="18"/>
      <w:lang w:eastAsia="en-US" w:bidi="en-US"/>
    </w:rPr>
  </w:style>
  <w:style w:type="paragraph" w:customStyle="1" w:styleId="123">
    <w:name w:val="目录 91"/>
    <w:basedOn w:val="1"/>
    <w:next w:val="1"/>
    <w:autoRedefine/>
    <w:unhideWhenUsed/>
    <w:uiPriority w:val="39"/>
    <w:pPr>
      <w:keepNext w:val="0"/>
      <w:keepLines w:val="0"/>
      <w:spacing w:before="0" w:beforeLines="0" w:line="240" w:lineRule="auto"/>
      <w:ind w:left="1760" w:firstLine="0" w:firstLineChars="0"/>
      <w:jc w:val="left"/>
    </w:pPr>
    <w:rPr>
      <w:rFonts w:cs="Calibri" w:asciiTheme="minorHAnsi" w:hAnsiTheme="minorHAnsi"/>
      <w:kern w:val="0"/>
      <w:sz w:val="18"/>
      <w:szCs w:val="18"/>
      <w:lang w:eastAsia="en-US" w:bidi="en-US"/>
    </w:rPr>
  </w:style>
  <w:style w:type="paragraph" w:customStyle="1" w:styleId="124">
    <w:name w:val="p0"/>
    <w:basedOn w:val="1"/>
    <w:qFormat/>
    <w:uiPriority w:val="0"/>
    <w:pPr>
      <w:keepNext w:val="0"/>
      <w:keepLines w:val="0"/>
      <w:spacing w:before="0" w:beforeLines="0" w:line="240" w:lineRule="auto"/>
      <w:ind w:firstLine="0" w:firstLineChars="0"/>
    </w:pPr>
    <w:rPr>
      <w:rFonts w:cs="Times New Roman"/>
      <w:kern w:val="0"/>
      <w:sz w:val="21"/>
      <w:szCs w:val="21"/>
    </w:rPr>
  </w:style>
  <w:style w:type="paragraph" w:customStyle="1" w:styleId="125">
    <w:name w:val="Default"/>
    <w:qFormat/>
    <w:uiPriority w:val="0"/>
    <w:pPr>
      <w:widowControl w:val="0"/>
      <w:autoSpaceDE w:val="0"/>
      <w:autoSpaceDN w:val="0"/>
      <w:adjustRightInd w:val="0"/>
    </w:pPr>
    <w:rPr>
      <w:rFonts w:ascii="宋体" w:hAnsi="Calibri Light" w:eastAsia="宋体" w:cs="宋体"/>
      <w:color w:val="000000"/>
      <w:kern w:val="0"/>
      <w:sz w:val="24"/>
      <w:szCs w:val="24"/>
      <w:lang w:val="en-US" w:eastAsia="en-US" w:bidi="ar-SA"/>
    </w:rPr>
  </w:style>
  <w:style w:type="paragraph" w:customStyle="1" w:styleId="126">
    <w:name w:val="Char"/>
    <w:basedOn w:val="13"/>
    <w:autoRedefine/>
    <w:uiPriority w:val="0"/>
    <w:pPr>
      <w:shd w:val="clear" w:color="auto" w:fill="000080"/>
      <w:adjustRightInd w:val="0"/>
      <w:spacing w:line="436" w:lineRule="exact"/>
      <w:ind w:left="357"/>
      <w:jc w:val="left"/>
      <w:outlineLvl w:val="3"/>
    </w:pPr>
    <w:rPr>
      <w:rFonts w:ascii="Tahoma" w:hAnsi="Tahoma" w:cs="Times New Roman"/>
      <w:b/>
      <w:sz w:val="24"/>
      <w:szCs w:val="24"/>
    </w:rPr>
  </w:style>
  <w:style w:type="paragraph" w:customStyle="1" w:styleId="127">
    <w:name w:val="Revision"/>
    <w:hidden/>
    <w:semiHidden/>
    <w:qFormat/>
    <w:uiPriority w:val="99"/>
    <w:rPr>
      <w:rFonts w:ascii="Calibri" w:hAnsi="Calibri" w:eastAsia="宋体" w:cs="Times New Roman"/>
      <w:kern w:val="2"/>
      <w:sz w:val="21"/>
      <w:szCs w:val="22"/>
      <w:lang w:val="en-US" w:eastAsia="zh-CN" w:bidi="ar-SA"/>
    </w:rPr>
  </w:style>
  <w:style w:type="paragraph" w:customStyle="1" w:styleId="128">
    <w:name w:val="mdx-标题"/>
    <w:basedOn w:val="1"/>
    <w:next w:val="1"/>
    <w:link w:val="129"/>
    <w:qFormat/>
    <w:uiPriority w:val="0"/>
    <w:pPr>
      <w:keepNext w:val="0"/>
      <w:keepLines w:val="0"/>
      <w:snapToGrid w:val="0"/>
      <w:spacing w:before="0" w:beforeLines="0" w:line="312" w:lineRule="auto"/>
      <w:ind w:firstLine="0" w:firstLineChars="0"/>
      <w:jc w:val="center"/>
      <w:outlineLvl w:val="0"/>
    </w:pPr>
    <w:rPr>
      <w:rFonts w:cs="Times New Roman"/>
      <w:b/>
      <w:bCs/>
      <w:sz w:val="28"/>
      <w:szCs w:val="24"/>
    </w:rPr>
  </w:style>
  <w:style w:type="character" w:customStyle="1" w:styleId="129">
    <w:name w:val="mdx-标题 Char"/>
    <w:basedOn w:val="33"/>
    <w:link w:val="128"/>
    <w:qFormat/>
    <w:uiPriority w:val="0"/>
    <w:rPr>
      <w:rFonts w:ascii="Times New Roman" w:hAnsi="Times New Roman" w:eastAsia="宋体" w:cs="Times New Roman"/>
      <w:b/>
      <w:bCs/>
      <w:sz w:val="28"/>
      <w:szCs w:val="24"/>
    </w:rPr>
  </w:style>
  <w:style w:type="paragraph" w:customStyle="1" w:styleId="130">
    <w:name w:val="MTDisplayEquation"/>
    <w:basedOn w:val="1"/>
    <w:next w:val="1"/>
    <w:link w:val="131"/>
    <w:qFormat/>
    <w:uiPriority w:val="0"/>
    <w:pPr>
      <w:keepNext w:val="0"/>
      <w:keepLines w:val="0"/>
      <w:tabs>
        <w:tab w:val="center" w:pos="4160"/>
        <w:tab w:val="right" w:pos="8300"/>
      </w:tabs>
      <w:spacing w:before="0" w:beforeLines="0" w:line="300" w:lineRule="auto"/>
      <w:ind w:firstLine="0" w:firstLineChars="0"/>
    </w:pPr>
    <w:rPr>
      <w:rFonts w:ascii="宋体" w:hAnsi="宋体" w:eastAsiaTheme="minorEastAsia"/>
    </w:rPr>
  </w:style>
  <w:style w:type="character" w:customStyle="1" w:styleId="131">
    <w:name w:val="MTDisplayEquation Char"/>
    <w:basedOn w:val="33"/>
    <w:link w:val="130"/>
    <w:qFormat/>
    <w:uiPriority w:val="0"/>
    <w:rPr>
      <w:rFonts w:ascii="宋体" w:hAnsi="宋体"/>
      <w:sz w:val="24"/>
    </w:rPr>
  </w:style>
  <w:style w:type="character" w:customStyle="1" w:styleId="132">
    <w:name w:val="MTEquationSection"/>
    <w:basedOn w:val="33"/>
    <w:qFormat/>
    <w:uiPriority w:val="0"/>
    <w:rPr>
      <w:vanish/>
      <w:color w:val="FF0000"/>
      <w:sz w:val="24"/>
    </w:rPr>
  </w:style>
  <w:style w:type="table" w:customStyle="1" w:styleId="133">
    <w:name w:val="网格型13"/>
    <w:basedOn w:val="3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
    <w:name w:val="网格型14"/>
    <w:basedOn w:val="31"/>
    <w:qFormat/>
    <w:uiPriority w:val="3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5">
    <w:name w:val="标题 2 Char1"/>
    <w:basedOn w:val="33"/>
    <w:semiHidden/>
    <w:qFormat/>
    <w:uiPriority w:val="9"/>
    <w:rPr>
      <w:rFonts w:asciiTheme="majorHAnsi" w:hAnsiTheme="majorHAnsi" w:eastAsiaTheme="majorEastAsia" w:cstheme="majorBidi"/>
      <w:b/>
      <w:bCs/>
      <w:sz w:val="32"/>
      <w:szCs w:val="32"/>
    </w:rPr>
  </w:style>
  <w:style w:type="character" w:customStyle="1" w:styleId="136">
    <w:name w:val="标题 3 Char1"/>
    <w:basedOn w:val="33"/>
    <w:semiHidden/>
    <w:qFormat/>
    <w:uiPriority w:val="9"/>
    <w:rPr>
      <w:b/>
      <w:bCs/>
      <w:sz w:val="32"/>
      <w:szCs w:val="32"/>
    </w:rPr>
  </w:style>
  <w:style w:type="character" w:customStyle="1" w:styleId="137">
    <w:name w:val="标题 4 Char1"/>
    <w:basedOn w:val="33"/>
    <w:semiHidden/>
    <w:qFormat/>
    <w:uiPriority w:val="9"/>
    <w:rPr>
      <w:rFonts w:asciiTheme="majorHAnsi" w:hAnsiTheme="majorHAnsi" w:eastAsiaTheme="majorEastAsia" w:cstheme="majorBidi"/>
      <w:b/>
      <w:bCs/>
      <w:sz w:val="28"/>
      <w:szCs w:val="28"/>
    </w:rPr>
  </w:style>
  <w:style w:type="character" w:customStyle="1" w:styleId="138">
    <w:name w:val="标题 5 Char1"/>
    <w:basedOn w:val="33"/>
    <w:semiHidden/>
    <w:qFormat/>
    <w:uiPriority w:val="9"/>
    <w:rPr>
      <w:b/>
      <w:bCs/>
      <w:sz w:val="28"/>
      <w:szCs w:val="28"/>
    </w:rPr>
  </w:style>
  <w:style w:type="character" w:customStyle="1" w:styleId="139">
    <w:name w:val="标题 6 Char1"/>
    <w:basedOn w:val="33"/>
    <w:semiHidden/>
    <w:qFormat/>
    <w:uiPriority w:val="9"/>
    <w:rPr>
      <w:rFonts w:asciiTheme="majorHAnsi" w:hAnsiTheme="majorHAnsi" w:eastAsiaTheme="majorEastAsia" w:cstheme="majorBidi"/>
      <w:b/>
      <w:bCs/>
      <w:sz w:val="24"/>
      <w:szCs w:val="24"/>
    </w:rPr>
  </w:style>
  <w:style w:type="character" w:customStyle="1" w:styleId="140">
    <w:name w:val="标题 7 Char1"/>
    <w:basedOn w:val="33"/>
    <w:semiHidden/>
    <w:qFormat/>
    <w:uiPriority w:val="9"/>
    <w:rPr>
      <w:b/>
      <w:bCs/>
      <w:sz w:val="24"/>
      <w:szCs w:val="24"/>
    </w:rPr>
  </w:style>
  <w:style w:type="character" w:customStyle="1" w:styleId="141">
    <w:name w:val="标题 8 Char1"/>
    <w:basedOn w:val="33"/>
    <w:semiHidden/>
    <w:qFormat/>
    <w:uiPriority w:val="9"/>
    <w:rPr>
      <w:rFonts w:asciiTheme="majorHAnsi" w:hAnsiTheme="majorHAnsi" w:eastAsiaTheme="majorEastAsia" w:cstheme="majorBidi"/>
      <w:sz w:val="24"/>
      <w:szCs w:val="24"/>
    </w:rPr>
  </w:style>
  <w:style w:type="character" w:customStyle="1" w:styleId="142">
    <w:name w:val="标题 9 Char1"/>
    <w:basedOn w:val="33"/>
    <w:semiHidden/>
    <w:qFormat/>
    <w:uiPriority w:val="9"/>
    <w:rPr>
      <w:rFonts w:asciiTheme="majorHAnsi" w:hAnsiTheme="majorHAnsi" w:eastAsiaTheme="majorEastAsia" w:cstheme="majorBidi"/>
      <w:szCs w:val="21"/>
    </w:rPr>
  </w:style>
  <w:style w:type="character" w:customStyle="1" w:styleId="143">
    <w:name w:val="标题 字符1"/>
    <w:basedOn w:val="33"/>
    <w:qFormat/>
    <w:uiPriority w:val="10"/>
    <w:rPr>
      <w:rFonts w:asciiTheme="majorHAnsi" w:hAnsiTheme="majorHAnsi" w:eastAsiaTheme="majorEastAsia" w:cstheme="majorBidi"/>
      <w:b/>
      <w:bCs/>
      <w:sz w:val="32"/>
      <w:szCs w:val="32"/>
    </w:rPr>
  </w:style>
  <w:style w:type="character" w:customStyle="1" w:styleId="144">
    <w:name w:val="标题 Char1"/>
    <w:basedOn w:val="33"/>
    <w:qFormat/>
    <w:uiPriority w:val="10"/>
    <w:rPr>
      <w:rFonts w:eastAsia="宋体" w:asciiTheme="majorHAnsi" w:hAnsiTheme="majorHAnsi" w:cstheme="majorBidi"/>
      <w:b/>
      <w:bCs/>
      <w:sz w:val="32"/>
      <w:szCs w:val="32"/>
    </w:rPr>
  </w:style>
  <w:style w:type="character" w:customStyle="1" w:styleId="145">
    <w:name w:val="副标题 字符1"/>
    <w:basedOn w:val="33"/>
    <w:qFormat/>
    <w:uiPriority w:val="11"/>
    <w:rPr>
      <w:b/>
      <w:bCs/>
      <w:kern w:val="28"/>
      <w:sz w:val="32"/>
      <w:szCs w:val="32"/>
    </w:rPr>
  </w:style>
  <w:style w:type="character" w:customStyle="1" w:styleId="146">
    <w:name w:val="副标题 Char1"/>
    <w:basedOn w:val="33"/>
    <w:qFormat/>
    <w:uiPriority w:val="11"/>
    <w:rPr>
      <w:rFonts w:eastAsia="宋体" w:asciiTheme="majorHAnsi" w:hAnsiTheme="majorHAnsi" w:cstheme="majorBidi"/>
      <w:b/>
      <w:bCs/>
      <w:kern w:val="28"/>
      <w:sz w:val="32"/>
      <w:szCs w:val="32"/>
    </w:rPr>
  </w:style>
  <w:style w:type="character" w:customStyle="1" w:styleId="147">
    <w:name w:val="引用 字符1"/>
    <w:basedOn w:val="33"/>
    <w:qFormat/>
    <w:uiPriority w:val="29"/>
    <w:rPr>
      <w:rFonts w:ascii="Times New Roman" w:hAnsi="Times New Roman" w:eastAsia="宋体"/>
      <w:i/>
      <w:iCs/>
      <w:color w:val="404040" w:themeColor="text1" w:themeTint="BF"/>
      <w:sz w:val="24"/>
      <w14:textFill>
        <w14:solidFill>
          <w14:schemeClr w14:val="tx1">
            <w14:lumMod w14:val="75000"/>
            <w14:lumOff w14:val="25000"/>
          </w14:schemeClr>
        </w14:solidFill>
      </w14:textFill>
    </w:rPr>
  </w:style>
  <w:style w:type="character" w:customStyle="1" w:styleId="148">
    <w:name w:val="引用 Char1"/>
    <w:basedOn w:val="33"/>
    <w:qFormat/>
    <w:uiPriority w:val="29"/>
    <w:rPr>
      <w:i/>
      <w:iCs/>
      <w:color w:val="404040" w:themeColor="text1" w:themeTint="BF"/>
      <w14:textFill>
        <w14:solidFill>
          <w14:schemeClr w14:val="tx1">
            <w14:lumMod w14:val="75000"/>
            <w14:lumOff w14:val="25000"/>
          </w14:schemeClr>
        </w14:solidFill>
      </w14:textFill>
    </w:rPr>
  </w:style>
  <w:style w:type="character" w:customStyle="1" w:styleId="149">
    <w:name w:val="明显引用 字符1"/>
    <w:basedOn w:val="33"/>
    <w:qFormat/>
    <w:uiPriority w:val="30"/>
    <w:rPr>
      <w:rFonts w:ascii="Times New Roman" w:hAnsi="Times New Roman" w:eastAsia="宋体"/>
      <w:i/>
      <w:iCs/>
      <w:color w:val="5B9BD5" w:themeColor="accent1"/>
      <w:sz w:val="24"/>
      <w14:textFill>
        <w14:solidFill>
          <w14:schemeClr w14:val="accent1"/>
        </w14:solidFill>
      </w14:textFill>
    </w:rPr>
  </w:style>
  <w:style w:type="character" w:customStyle="1" w:styleId="150">
    <w:name w:val="明显引用 Char1"/>
    <w:basedOn w:val="33"/>
    <w:qFormat/>
    <w:uiPriority w:val="30"/>
    <w:rPr>
      <w:i/>
      <w:iCs/>
      <w:color w:val="5B9BD5" w:themeColor="accent1"/>
      <w14:textFill>
        <w14:solidFill>
          <w14:schemeClr w14:val="accent1"/>
        </w14:solidFill>
      </w14:textFill>
    </w:rPr>
  </w:style>
  <w:style w:type="character" w:customStyle="1" w:styleId="151">
    <w:name w:val="Subtle Reference"/>
    <w:basedOn w:val="33"/>
    <w:qFormat/>
    <w:uiPriority w:val="31"/>
    <w:rPr>
      <w:smallCaps/>
      <w:color w:val="595959" w:themeColor="text1" w:themeTint="A6"/>
      <w14:textFill>
        <w14:solidFill>
          <w14:schemeClr w14:val="tx1">
            <w14:lumMod w14:val="65000"/>
            <w14:lumOff w14:val="35000"/>
          </w14:schemeClr>
        </w14:solidFill>
      </w14:textFill>
    </w:rPr>
  </w:style>
  <w:style w:type="character" w:customStyle="1" w:styleId="152">
    <w:name w:val="Intense Reference"/>
    <w:basedOn w:val="33"/>
    <w:qFormat/>
    <w:uiPriority w:val="32"/>
    <w:rPr>
      <w:b/>
      <w:bCs/>
      <w:smallCaps/>
      <w:color w:val="5B9BD5" w:themeColor="accent1"/>
      <w:spacing w:val="5"/>
      <w14:textFill>
        <w14:solidFill>
          <w14:schemeClr w14:val="accent1"/>
        </w14:solidFill>
      </w14:textFill>
    </w:rPr>
  </w:style>
  <w:style w:type="character" w:customStyle="1" w:styleId="153">
    <w:name w:val="Book Title"/>
    <w:basedOn w:val="33"/>
    <w:qFormat/>
    <w:uiPriority w:val="33"/>
    <w:rPr>
      <w:b/>
      <w:bCs/>
      <w:i/>
      <w:iCs/>
      <w:spacing w:val="5"/>
    </w:rPr>
  </w:style>
  <w:style w:type="character" w:customStyle="1" w:styleId="154">
    <w:name w:val="不明显强调1"/>
    <w:qFormat/>
    <w:uiPriority w:val="19"/>
    <w:rPr>
      <w:i/>
      <w:iCs/>
    </w:rPr>
  </w:style>
  <w:style w:type="character" w:customStyle="1" w:styleId="155">
    <w:name w:val="明显强调1"/>
    <w:qFormat/>
    <w:uiPriority w:val="21"/>
    <w:rPr>
      <w:i/>
      <w:iCs/>
      <w:caps/>
      <w:spacing w:val="10"/>
      <w:sz w:val="20"/>
      <w:szCs w:val="20"/>
    </w:rPr>
  </w:style>
  <w:style w:type="paragraph" w:customStyle="1" w:styleId="156">
    <w:name w:val="TOC 标题1"/>
    <w:basedOn w:val="2"/>
    <w:next w:val="1"/>
    <w:unhideWhenUsed/>
    <w:qFormat/>
    <w:uiPriority w:val="39"/>
    <w:pPr>
      <w:keepNext w:val="0"/>
      <w:keepLines w:val="0"/>
      <w:pBdr>
        <w:bottom w:val="thinThickSmallGap" w:color="C55911" w:themeColor="accent2" w:themeShade="BF" w:sz="12" w:space="1"/>
      </w:pBdr>
      <w:spacing w:before="400" w:beforeLines="0" w:after="200" w:line="252" w:lineRule="auto"/>
      <w:outlineLvl w:val="9"/>
    </w:pPr>
    <w:rPr>
      <w:rFonts w:asciiTheme="majorHAnsi" w:hAnsiTheme="majorHAnsi" w:eastAsiaTheme="majorEastAsia" w:cstheme="majorBidi"/>
      <w:bCs w:val="0"/>
      <w:caps/>
      <w:color w:val="843C0B" w:themeColor="accent2" w:themeShade="80"/>
      <w:spacing w:val="20"/>
      <w:kern w:val="0"/>
      <w:sz w:val="28"/>
      <w:szCs w:val="28"/>
      <w:lang w:eastAsia="en-US" w:bidi="en-US"/>
    </w:rPr>
  </w:style>
  <w:style w:type="paragraph" w:customStyle="1" w:styleId="157">
    <w:name w:val="修订1"/>
    <w:hidden/>
    <w:semiHidden/>
    <w:qFormat/>
    <w:uiPriority w:val="99"/>
    <w:rPr>
      <w:rFonts w:ascii="Calibri" w:hAnsi="Calibri" w:eastAsia="宋体" w:cs="Times New Roman"/>
      <w:kern w:val="2"/>
      <w:sz w:val="21"/>
      <w:szCs w:val="22"/>
      <w:lang w:val="en-US" w:eastAsia="zh-CN" w:bidi="ar-SA"/>
    </w:rPr>
  </w:style>
  <w:style w:type="character" w:customStyle="1" w:styleId="158">
    <w:name w:val="mbin"/>
    <w:basedOn w:val="33"/>
    <w:qFormat/>
    <w:uiPriority w:val="0"/>
  </w:style>
  <w:style w:type="table" w:customStyle="1" w:styleId="159">
    <w:name w:val="表格样式1"/>
    <w:basedOn w:val="3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header" Target="header2.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23.wmf"/><Relationship Id="rId56" Type="http://schemas.openxmlformats.org/officeDocument/2006/relationships/oleObject" Target="embeddings/oleObject11.bin"/><Relationship Id="rId55" Type="http://schemas.openxmlformats.org/officeDocument/2006/relationships/image" Target="media/image22.wmf"/><Relationship Id="rId54" Type="http://schemas.openxmlformats.org/officeDocument/2006/relationships/oleObject" Target="embeddings/oleObject10.bin"/><Relationship Id="rId53" Type="http://schemas.openxmlformats.org/officeDocument/2006/relationships/image" Target="media/image21.wmf"/><Relationship Id="rId52" Type="http://schemas.openxmlformats.org/officeDocument/2006/relationships/oleObject" Target="embeddings/oleObject9.bin"/><Relationship Id="rId51" Type="http://schemas.openxmlformats.org/officeDocument/2006/relationships/image" Target="media/image20.wmf"/><Relationship Id="rId50" Type="http://schemas.openxmlformats.org/officeDocument/2006/relationships/oleObject" Target="embeddings/oleObject8.bin"/><Relationship Id="rId5" Type="http://schemas.openxmlformats.org/officeDocument/2006/relationships/header" Target="header1.xml"/><Relationship Id="rId49" Type="http://schemas.openxmlformats.org/officeDocument/2006/relationships/image" Target="media/image19.wmf"/><Relationship Id="rId48" Type="http://schemas.openxmlformats.org/officeDocument/2006/relationships/oleObject" Target="embeddings/oleObject7.bin"/><Relationship Id="rId47" Type="http://schemas.openxmlformats.org/officeDocument/2006/relationships/image" Target="media/image18.wmf"/><Relationship Id="rId46" Type="http://schemas.openxmlformats.org/officeDocument/2006/relationships/oleObject" Target="embeddings/oleObject6.bin"/><Relationship Id="rId45" Type="http://schemas.openxmlformats.org/officeDocument/2006/relationships/image" Target="media/image17.wmf"/><Relationship Id="rId44" Type="http://schemas.openxmlformats.org/officeDocument/2006/relationships/oleObject" Target="embeddings/oleObject5.bin"/><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endnotes" Target="endnotes.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wmf"/><Relationship Id="rId33" Type="http://schemas.openxmlformats.org/officeDocument/2006/relationships/oleObject" Target="embeddings/oleObject4.bin"/><Relationship Id="rId32" Type="http://schemas.openxmlformats.org/officeDocument/2006/relationships/image" Target="media/image6.wmf"/><Relationship Id="rId31" Type="http://schemas.openxmlformats.org/officeDocument/2006/relationships/oleObject" Target="embeddings/oleObject3.bin"/><Relationship Id="rId30" Type="http://schemas.openxmlformats.org/officeDocument/2006/relationships/image" Target="media/image5.wmf"/><Relationship Id="rId3" Type="http://schemas.openxmlformats.org/officeDocument/2006/relationships/footnotes" Target="footnotes.xml"/><Relationship Id="rId29" Type="http://schemas.openxmlformats.org/officeDocument/2006/relationships/oleObject" Target="embeddings/oleObject2.bin"/><Relationship Id="rId28" Type="http://schemas.openxmlformats.org/officeDocument/2006/relationships/image" Target="media/image4.wmf"/><Relationship Id="rId27" Type="http://schemas.openxmlformats.org/officeDocument/2006/relationships/image" Target="media/image3.wmf"/><Relationship Id="rId26" Type="http://schemas.openxmlformats.org/officeDocument/2006/relationships/oleObject" Target="embeddings/oleObject1.bin"/><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A34E59-427D-46EC-8D6D-CA37C2B7D8F4}">
  <ds:schemaRefs/>
</ds:datastoreItem>
</file>

<file path=docProps/app.xml><?xml version="1.0" encoding="utf-8"?>
<Properties xmlns="http://schemas.openxmlformats.org/officeDocument/2006/extended-properties" xmlns:vt="http://schemas.openxmlformats.org/officeDocument/2006/docPropsVTypes">
  <Template>Normal.dotm</Template>
  <Pages>118</Pages>
  <Words>8375</Words>
  <Characters>9000</Characters>
  <Lines>276</Lines>
  <Paragraphs>77</Paragraphs>
  <TotalTime>0</TotalTime>
  <ScaleCrop>false</ScaleCrop>
  <LinksUpToDate>false</LinksUpToDate>
  <CharactersWithSpaces>9171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2025-08-20T02:53:00Z</dcterms:created>
  <dc:creator>万叶青</dc:creator>
  <cp:lastModifiedBy>张睿</cp:lastModifiedBy>
  <cp:lastPrinted>2025-08-20T02:38:00Z</cp:lastPrinted>
  <dcterms:modified xsi:type="dcterms:W3CDTF">2025-09-12T01:36:26Z</dcterms:modified>
  <cp:revision>150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eyJoZGlkIjoiZjZhZDk1MzQ4NTBlN2RjYzhhMTk1OWNhYzRmYjg4YWYiLCJ1c2VySWQiOiI5NjA2Njg1MzUifQ==</vt:lpwstr>
  </property>
  <property fmtid="{D5CDD505-2E9C-101B-9397-08002B2CF9AE}" pid="3" name="KSOProductBuildVer">
    <vt:lpwstr>2052-12.1.0.21915</vt:lpwstr>
  </property>
  <property fmtid="{D5CDD505-2E9C-101B-9397-08002B2CF9AE}" pid="4" name="ICV">
    <vt:lpwstr>35B29977E3FA4F42A8EAF0DE2908AD2A_12</vt:lpwstr>
  </property>
</Properties>
</file>